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ED35" w14:textId="77777777" w:rsidR="00A14466" w:rsidRDefault="00A14466" w:rsidP="00A14466">
      <w:pPr>
        <w:ind w:left="284" w:right="827"/>
        <w:rPr>
          <w:rFonts w:ascii="Arial" w:hAnsi="Arial" w:cs="Arial"/>
          <w:sz w:val="20"/>
          <w:szCs w:val="20"/>
          <w:lang w:val="en-US"/>
        </w:rPr>
      </w:pPr>
      <w:r w:rsidRPr="0025102B">
        <w:rPr>
          <w:rFonts w:ascii="Arial" w:eastAsiaTheme="minorEastAsia" w:hAnsi="Arial" w:cs="Arial"/>
          <w:b/>
          <w:bCs/>
          <w:noProof/>
          <w:color w:val="000000" w:themeColor="text1"/>
          <w:kern w:val="24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AF973" wp14:editId="06007989">
                <wp:simplePos x="0" y="0"/>
                <wp:positionH relativeFrom="column">
                  <wp:posOffset>4423410</wp:posOffset>
                </wp:positionH>
                <wp:positionV relativeFrom="paragraph">
                  <wp:posOffset>0</wp:posOffset>
                </wp:positionV>
                <wp:extent cx="1597025" cy="409575"/>
                <wp:effectExtent l="0" t="0" r="317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0765" w14:textId="52C49CC3" w:rsidR="00A14466" w:rsidRPr="0025102B" w:rsidRDefault="00A14466" w:rsidP="00A14466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0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SLR-3</w:t>
                            </w:r>
                            <w:r w:rsidR="0083739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510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9706C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AF9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8.3pt;margin-top:0;width:125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" stroked="f">
                <v:textbox>
                  <w:txbxContent>
                    <w:p w14:paraId="21BF0765" w14:textId="52C49CC3" w:rsidR="00A14466" w:rsidRPr="0025102B" w:rsidRDefault="00A14466" w:rsidP="00A14466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5102B">
                        <w:rPr>
                          <w:b/>
                          <w:bCs/>
                          <w:sz w:val="36"/>
                          <w:szCs w:val="36"/>
                        </w:rPr>
                        <w:t>SLR-3</w:t>
                      </w:r>
                      <w:r w:rsidR="00837394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5102B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9706C2">
                        <w:rPr>
                          <w:b/>
                          <w:bCs/>
                          <w:sz w:val="36"/>
                          <w:szCs w:val="36"/>
                        </w:rPr>
                        <w:t>02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i/>
          <w:iCs/>
          <w:noProof/>
          <w:color w:val="333399"/>
          <w:sz w:val="52"/>
          <w:lang w:val="en-GB"/>
        </w:rPr>
        <w:drawing>
          <wp:inline distT="0" distB="0" distL="0" distR="0" wp14:anchorId="5B433E8E" wp14:editId="3DC3B9DC">
            <wp:extent cx="2321690" cy="923925"/>
            <wp:effectExtent l="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22" cy="940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F8C09" w14:textId="498897E3" w:rsidR="00A14466" w:rsidRDefault="00A14466">
      <w:pPr>
        <w:rPr>
          <w:rFonts w:ascii="Arial" w:hAnsi="Arial"/>
          <w:b/>
          <w:bCs/>
          <w:sz w:val="28"/>
          <w:lang w:val="en-GB"/>
        </w:rPr>
      </w:pPr>
    </w:p>
    <w:p w14:paraId="456BA999" w14:textId="77777777" w:rsidR="00A14466" w:rsidRDefault="00A14466">
      <w:pPr>
        <w:rPr>
          <w:rFonts w:ascii="Arial" w:hAnsi="Arial"/>
          <w:b/>
          <w:bCs/>
          <w:sz w:val="28"/>
          <w:lang w:val="en-GB"/>
        </w:rPr>
      </w:pPr>
    </w:p>
    <w:p w14:paraId="5623A575" w14:textId="308F6FBE" w:rsidR="00A14466" w:rsidRDefault="00456852" w:rsidP="00A14466">
      <w:pPr>
        <w:jc w:val="center"/>
        <w:rPr>
          <w:rFonts w:ascii="Arial" w:hAnsi="Arial"/>
          <w:b/>
          <w:bCs/>
          <w:sz w:val="28"/>
          <w:lang w:val="en-GB"/>
        </w:rPr>
      </w:pPr>
      <w:r w:rsidRPr="002A4505">
        <w:rPr>
          <w:rFonts w:ascii="Arial" w:hAnsi="Arial"/>
          <w:b/>
          <w:bCs/>
          <w:sz w:val="28"/>
          <w:lang w:val="en-GB"/>
        </w:rPr>
        <w:t>Proposal</w:t>
      </w:r>
      <w:r w:rsidR="00A14466">
        <w:rPr>
          <w:rFonts w:ascii="Arial" w:hAnsi="Arial"/>
          <w:b/>
          <w:bCs/>
          <w:sz w:val="28"/>
          <w:lang w:val="en-GB"/>
        </w:rPr>
        <w:t xml:space="preserve"> </w:t>
      </w:r>
      <w:r w:rsidR="00A14466" w:rsidRPr="00A14466">
        <w:rPr>
          <w:rFonts w:ascii="Arial" w:hAnsi="Arial"/>
          <w:b/>
          <w:bCs/>
          <w:sz w:val="28"/>
          <w:lang w:val="en-GB"/>
        </w:rPr>
        <w:t>for an amendment to</w:t>
      </w:r>
    </w:p>
    <w:p w14:paraId="0D2A281F" w14:textId="7AD2C797" w:rsidR="00456852" w:rsidRPr="002A4505" w:rsidRDefault="00A14466" w:rsidP="00A14466">
      <w:pPr>
        <w:jc w:val="center"/>
        <w:rPr>
          <w:rFonts w:ascii="Arial" w:hAnsi="Arial"/>
          <w:b/>
          <w:bCs/>
          <w:sz w:val="28"/>
          <w:lang w:val="en-GB"/>
        </w:rPr>
      </w:pPr>
      <w:r w:rsidRPr="00A14466">
        <w:rPr>
          <w:rFonts w:ascii="Arial" w:hAnsi="Arial"/>
          <w:b/>
          <w:bCs/>
          <w:sz w:val="28"/>
          <w:lang w:val="en-GB"/>
        </w:rPr>
        <w:t>UN Regulation No. 148 (Light Signalling Devices)</w:t>
      </w:r>
    </w:p>
    <w:p w14:paraId="2551D5BA" w14:textId="11CFF8F9" w:rsidR="00456852" w:rsidRDefault="00456852">
      <w:pPr>
        <w:rPr>
          <w:rFonts w:ascii="Arial" w:hAnsi="Arial"/>
          <w:lang w:val="en-GB"/>
        </w:rPr>
      </w:pPr>
    </w:p>
    <w:p w14:paraId="728F3435" w14:textId="77777777" w:rsidR="00A14466" w:rsidRDefault="00A14466">
      <w:pPr>
        <w:rPr>
          <w:rFonts w:ascii="Arial" w:hAnsi="Arial"/>
          <w:lang w:val="en-GB"/>
        </w:rPr>
      </w:pPr>
    </w:p>
    <w:p w14:paraId="16FE9A78" w14:textId="1408902E" w:rsidR="00A14466" w:rsidRDefault="00CA19C9" w:rsidP="00A14466">
      <w:pPr>
        <w:pStyle w:val="HChG"/>
        <w:spacing w:before="240"/>
        <w:rPr>
          <w:rFonts w:ascii="Arial" w:hAnsi="Arial"/>
        </w:rPr>
      </w:pPr>
      <w:r>
        <w:tab/>
        <w:t>I.</w:t>
      </w:r>
      <w:r>
        <w:tab/>
      </w:r>
      <w:r w:rsidR="00A14466" w:rsidRPr="00A14466">
        <w:t>Proposal</w:t>
      </w:r>
      <w:r w:rsidR="00A14466">
        <w:rPr>
          <w:rFonts w:ascii="Arial" w:hAnsi="Arial"/>
          <w:b w:val="0"/>
          <w:bCs/>
        </w:rPr>
        <w:t>:</w:t>
      </w:r>
    </w:p>
    <w:p w14:paraId="4F80F758" w14:textId="3FC4B138" w:rsidR="000C4E7E" w:rsidRPr="002A4505" w:rsidRDefault="000C4E7E" w:rsidP="00A14466">
      <w:pPr>
        <w:suppressAutoHyphens/>
        <w:spacing w:after="120" w:line="240" w:lineRule="atLeast"/>
        <w:ind w:left="2268" w:right="1395" w:hanging="1134"/>
        <w:jc w:val="both"/>
        <w:rPr>
          <w:sz w:val="22"/>
          <w:lang w:val="en-GB"/>
        </w:rPr>
      </w:pPr>
      <w:r w:rsidRPr="00A14466">
        <w:rPr>
          <w:i/>
          <w:sz w:val="20"/>
          <w:szCs w:val="20"/>
          <w:lang w:val="en-GB" w:eastAsia="en-US"/>
        </w:rPr>
        <w:t>Paragraph</w:t>
      </w:r>
      <w:r w:rsidRPr="002A4505">
        <w:rPr>
          <w:i/>
          <w:sz w:val="22"/>
          <w:lang w:val="en-GB"/>
        </w:rPr>
        <w:t xml:space="preserve"> </w:t>
      </w:r>
      <w:r w:rsidR="00837394">
        <w:rPr>
          <w:i/>
          <w:sz w:val="22"/>
          <w:lang w:val="en-GB"/>
        </w:rPr>
        <w:t>5.6.1</w:t>
      </w:r>
      <w:r w:rsidRPr="002A4505">
        <w:rPr>
          <w:i/>
          <w:sz w:val="22"/>
          <w:lang w:val="en-GB"/>
        </w:rPr>
        <w:t>.,</w:t>
      </w:r>
      <w:r w:rsidRPr="002A4505">
        <w:rPr>
          <w:sz w:val="22"/>
          <w:lang w:val="en-GB"/>
        </w:rPr>
        <w:t xml:space="preserve"> amend to read:</w:t>
      </w:r>
    </w:p>
    <w:p w14:paraId="709C9C39" w14:textId="2AB63E76" w:rsidR="00EE2A56" w:rsidRPr="00837394" w:rsidRDefault="000C4E7E" w:rsidP="000E64E9">
      <w:pPr>
        <w:spacing w:after="120"/>
        <w:ind w:left="2268" w:right="1395" w:hanging="1134"/>
        <w:jc w:val="both"/>
        <w:rPr>
          <w:sz w:val="22"/>
          <w:lang w:val="en-GB"/>
        </w:rPr>
      </w:pPr>
      <w:r w:rsidRPr="002A4505">
        <w:rPr>
          <w:sz w:val="22"/>
          <w:szCs w:val="22"/>
          <w:lang w:val="en-GB"/>
        </w:rPr>
        <w:t>“</w:t>
      </w:r>
      <w:r w:rsidR="00EE2A56" w:rsidRPr="002A4505">
        <w:rPr>
          <w:sz w:val="22"/>
          <w:lang w:val="en-GB"/>
        </w:rPr>
        <w:t>5.6.1.</w:t>
      </w:r>
      <w:r w:rsidR="00EE2A56" w:rsidRPr="002A4505">
        <w:rPr>
          <w:sz w:val="22"/>
          <w:lang w:val="en-GB"/>
        </w:rPr>
        <w:tab/>
      </w:r>
      <w:r w:rsidR="00EE2A56" w:rsidRPr="00837394">
        <w:rPr>
          <w:bCs/>
          <w:sz w:val="22"/>
          <w:lang w:val="en-GB"/>
        </w:rPr>
        <w:t>Luminous intensity:</w:t>
      </w:r>
    </w:p>
    <w:p w14:paraId="43223A5B" w14:textId="7124FD9D" w:rsidR="00EE2A56" w:rsidRPr="002A4505" w:rsidRDefault="00EE2A56" w:rsidP="000E64E9">
      <w:pPr>
        <w:spacing w:after="120"/>
        <w:ind w:left="2268" w:right="1395"/>
        <w:jc w:val="both"/>
        <w:rPr>
          <w:sz w:val="22"/>
          <w:lang w:val="en-GB"/>
        </w:rPr>
      </w:pPr>
      <w:r w:rsidRPr="002A4505">
        <w:rPr>
          <w:sz w:val="22"/>
          <w:lang w:val="en-GB"/>
        </w:rPr>
        <w:t xml:space="preserve">The light emitted by each of the two </w:t>
      </w:r>
      <w:r w:rsidRPr="00837394">
        <w:rPr>
          <w:bCs/>
          <w:sz w:val="22"/>
          <w:lang w:val="en-GB"/>
        </w:rPr>
        <w:t>samples</w:t>
      </w:r>
      <w:r w:rsidRPr="002A4505">
        <w:rPr>
          <w:sz w:val="22"/>
          <w:lang w:val="en-GB"/>
        </w:rPr>
        <w:t xml:space="preserve"> supplied shall meet the requirements in Table 8 where the minimum luminous intensities shall be fulfilled:</w:t>
      </w:r>
    </w:p>
    <w:p w14:paraId="13259472" w14:textId="77777777" w:rsidR="00EE2A56" w:rsidRPr="002A4505" w:rsidRDefault="00EE2A56" w:rsidP="00E9365B">
      <w:pPr>
        <w:spacing w:after="120"/>
        <w:ind w:left="2694" w:right="1395" w:hanging="426"/>
        <w:jc w:val="both"/>
        <w:rPr>
          <w:sz w:val="22"/>
          <w:lang w:val="en-GB"/>
        </w:rPr>
      </w:pPr>
      <w:r w:rsidRPr="002A4505">
        <w:rPr>
          <w:sz w:val="22"/>
          <w:lang w:val="en-GB"/>
        </w:rPr>
        <w:t>(a)</w:t>
      </w:r>
      <w:r w:rsidRPr="002A4505">
        <w:rPr>
          <w:sz w:val="22"/>
          <w:lang w:val="en-GB"/>
        </w:rPr>
        <w:tab/>
      </w:r>
      <w:r w:rsidRPr="00E9365B">
        <w:rPr>
          <w:rFonts w:eastAsia="Calibri"/>
          <w:bCs/>
          <w:snapToGrid w:val="0"/>
          <w:sz w:val="22"/>
          <w:szCs w:val="22"/>
          <w:lang w:val="en-GB"/>
        </w:rPr>
        <w:t>In</w:t>
      </w:r>
      <w:r w:rsidRPr="002A4505">
        <w:rPr>
          <w:sz w:val="22"/>
          <w:lang w:val="en-GB"/>
        </w:rPr>
        <w:t xml:space="preserve"> the case of direction indicators of categories 1, 1a, 1b, 2a, 2b, 11, 11a, 11b, 11c and 12 in the reference axis; or</w:t>
      </w:r>
    </w:p>
    <w:p w14:paraId="3B4DDD6B" w14:textId="77777777" w:rsidR="00837394" w:rsidRDefault="00EE2A56" w:rsidP="00837394">
      <w:pPr>
        <w:spacing w:after="120"/>
        <w:ind w:left="2694" w:right="1395" w:hanging="426"/>
        <w:jc w:val="both"/>
        <w:rPr>
          <w:sz w:val="22"/>
          <w:lang w:val="en-GB"/>
        </w:rPr>
      </w:pPr>
      <w:r w:rsidRPr="002A4505">
        <w:rPr>
          <w:sz w:val="22"/>
          <w:lang w:val="en-GB"/>
        </w:rPr>
        <w:t>(b)</w:t>
      </w:r>
      <w:r w:rsidRPr="002A4505">
        <w:rPr>
          <w:sz w:val="22"/>
          <w:lang w:val="en-GB"/>
        </w:rPr>
        <w:tab/>
      </w:r>
      <w:r w:rsidRPr="00E9365B">
        <w:rPr>
          <w:rFonts w:eastAsia="Calibri"/>
          <w:bCs/>
          <w:snapToGrid w:val="0"/>
          <w:sz w:val="22"/>
          <w:szCs w:val="22"/>
          <w:lang w:val="en-GB"/>
        </w:rPr>
        <w:t>in</w:t>
      </w:r>
      <w:r w:rsidRPr="002A4505">
        <w:rPr>
          <w:sz w:val="22"/>
          <w:lang w:val="en-GB"/>
        </w:rPr>
        <w:t xml:space="preserve"> the case of direction indicators of categories 5 and 6 in direction A according to Annex 2.</w:t>
      </w:r>
    </w:p>
    <w:p w14:paraId="42D42B1F" w14:textId="26879AE4" w:rsidR="00837394" w:rsidRPr="002A4505" w:rsidRDefault="00837394" w:rsidP="00837394">
      <w:pPr>
        <w:spacing w:after="120"/>
        <w:ind w:left="2694" w:right="1395" w:hanging="426"/>
        <w:jc w:val="both"/>
        <w:rPr>
          <w:sz w:val="22"/>
          <w:lang w:val="en-GB"/>
        </w:rPr>
      </w:pPr>
      <w:r w:rsidRPr="00837394">
        <w:rPr>
          <w:sz w:val="22"/>
          <w:lang w:val="en-GB"/>
        </w:rPr>
        <w:t>Table 8: Luminous intensities for direction indicator lamps</w:t>
      </w:r>
    </w:p>
    <w:tbl>
      <w:tblPr>
        <w:tblW w:w="623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418"/>
        <w:gridCol w:w="1701"/>
        <w:gridCol w:w="1984"/>
      </w:tblGrid>
      <w:tr w:rsidR="00EE2A56" w:rsidRPr="009706C2" w14:paraId="1FF57F03" w14:textId="77777777" w:rsidTr="00A05310">
        <w:trPr>
          <w:trHeight w:val="229"/>
        </w:trPr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6295F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DE51A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Minimum luminous intensity in HV (values in cd)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AC3C7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Maximum luminous intensity in any direction when used as (values in cd)</w:t>
            </w:r>
          </w:p>
        </w:tc>
      </w:tr>
      <w:tr w:rsidR="00EE2A56" w:rsidRPr="009706C2" w14:paraId="7519D37F" w14:textId="77777777" w:rsidTr="00A05310">
        <w:trPr>
          <w:trHeight w:val="228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8166823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EA5DC94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C201D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A single lamp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C63D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A lamp marked "D" (paragraph 3.3.2.5.2.)</w:t>
            </w:r>
          </w:p>
        </w:tc>
      </w:tr>
      <w:tr w:rsidR="00852543" w:rsidRPr="002A4505" w14:paraId="62E5C1D3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7AD397F5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7996B4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482ACD" w14:textId="121E07B8" w:rsidR="00EE2A56" w:rsidRPr="00837394" w:rsidRDefault="00A975A0" w:rsidP="008D4122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837394">
              <w:rPr>
                <w:b/>
                <w:bCs/>
                <w:sz w:val="22"/>
                <w:lang w:val="en-GB"/>
              </w:rPr>
              <w:t>1200</w:t>
            </w:r>
            <w:r w:rsidR="008D4122" w:rsidRPr="00837394">
              <w:rPr>
                <w:bCs/>
                <w:sz w:val="22"/>
                <w:lang w:val="en-GB"/>
              </w:rPr>
              <w:t xml:space="preserve"> </w:t>
            </w:r>
            <w:r w:rsidR="00EE2A56" w:rsidRPr="00837394">
              <w:rPr>
                <w:bCs/>
                <w:strike/>
                <w:sz w:val="22"/>
                <w:lang w:val="en-GB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986C950" w14:textId="5E19627C" w:rsidR="00EE2A56" w:rsidRPr="00837394" w:rsidRDefault="00A975A0" w:rsidP="008D4122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837394">
              <w:rPr>
                <w:b/>
                <w:bCs/>
                <w:sz w:val="22"/>
                <w:lang w:val="en-GB"/>
              </w:rPr>
              <w:t>600</w:t>
            </w:r>
            <w:r w:rsidR="008D4122" w:rsidRPr="00837394">
              <w:rPr>
                <w:bCs/>
                <w:sz w:val="22"/>
                <w:lang w:val="en-GB"/>
              </w:rPr>
              <w:t xml:space="preserve"> </w:t>
            </w:r>
            <w:r w:rsidR="00EE2A56" w:rsidRPr="00837394">
              <w:rPr>
                <w:bCs/>
                <w:strike/>
                <w:sz w:val="22"/>
                <w:lang w:val="en-GB"/>
              </w:rPr>
              <w:t>500</w:t>
            </w:r>
          </w:p>
        </w:tc>
      </w:tr>
      <w:tr w:rsidR="00852543" w:rsidRPr="002A4505" w14:paraId="6CA53A7E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2349AB99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48CE4B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1EF88C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F3202E0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600</w:t>
            </w:r>
          </w:p>
        </w:tc>
      </w:tr>
      <w:tr w:rsidR="00852543" w:rsidRPr="002A4505" w14:paraId="57552DEC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19C1DC00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1b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21B8F4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C13105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B82787C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600</w:t>
            </w:r>
          </w:p>
        </w:tc>
      </w:tr>
      <w:tr w:rsidR="00852543" w:rsidRPr="002A4505" w14:paraId="2E170758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79CFA0C1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2a (steady)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570D24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9FEFD2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5C05203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250</w:t>
            </w:r>
          </w:p>
        </w:tc>
      </w:tr>
      <w:tr w:rsidR="00852543" w:rsidRPr="002A4505" w14:paraId="2E409ACD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44819508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2b (variable)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3F3A7C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B37413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D78CC40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500</w:t>
            </w:r>
          </w:p>
        </w:tc>
      </w:tr>
      <w:tr w:rsidR="00852543" w:rsidRPr="002A4505" w14:paraId="14774B2E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7F7F855B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2C00EC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0.6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2C4A27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280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F25B400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140</w:t>
            </w:r>
          </w:p>
        </w:tc>
      </w:tr>
      <w:tr w:rsidR="00852543" w:rsidRPr="002A4505" w14:paraId="5E0A55A2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3F8BDBD5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7D5617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5C96C9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280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D115C2F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140</w:t>
            </w:r>
          </w:p>
        </w:tc>
      </w:tr>
      <w:tr w:rsidR="00852543" w:rsidRPr="002A4505" w14:paraId="3A8B2CBE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4D840A88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94E5B6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3D5CF2" w14:textId="4E40A61E" w:rsidR="00EE2A56" w:rsidRPr="002A4505" w:rsidRDefault="00837394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837394">
              <w:rPr>
                <w:b/>
                <w:bCs/>
                <w:sz w:val="22"/>
                <w:lang w:val="en-GB"/>
              </w:rPr>
              <w:t>1200</w:t>
            </w:r>
            <w:r>
              <w:rPr>
                <w:bCs/>
                <w:sz w:val="22"/>
                <w:lang w:val="en-GB"/>
              </w:rPr>
              <w:t xml:space="preserve"> </w:t>
            </w:r>
            <w:r w:rsidR="00EE2A56" w:rsidRPr="00837394">
              <w:rPr>
                <w:bCs/>
                <w:strike/>
                <w:sz w:val="22"/>
                <w:lang w:val="en-GB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12383FC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N.A.</w:t>
            </w:r>
          </w:p>
        </w:tc>
      </w:tr>
      <w:tr w:rsidR="00852543" w:rsidRPr="002A4505" w14:paraId="303F8034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084058D5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11a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9C94C2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03A4DA" w14:textId="7033CEC4" w:rsidR="00EE2A56" w:rsidRPr="002A4505" w:rsidRDefault="00837394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837394">
              <w:rPr>
                <w:b/>
                <w:bCs/>
                <w:sz w:val="22"/>
                <w:lang w:val="en-GB"/>
              </w:rPr>
              <w:t>1200</w:t>
            </w:r>
            <w:r>
              <w:rPr>
                <w:bCs/>
                <w:sz w:val="22"/>
                <w:lang w:val="en-GB"/>
              </w:rPr>
              <w:t xml:space="preserve"> </w:t>
            </w:r>
            <w:r w:rsidRPr="00837394">
              <w:rPr>
                <w:bCs/>
                <w:strike/>
                <w:sz w:val="22"/>
                <w:lang w:val="en-GB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FD818E2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N.A.</w:t>
            </w:r>
          </w:p>
        </w:tc>
      </w:tr>
      <w:tr w:rsidR="00852543" w:rsidRPr="002A4505" w14:paraId="43C849D1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0F26062A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11b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C7205F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31AF4F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71F3886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N.A.</w:t>
            </w:r>
          </w:p>
        </w:tc>
      </w:tr>
      <w:tr w:rsidR="00852543" w:rsidRPr="002A4505" w14:paraId="44CED3E8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75C4A84C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11c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794F7E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EB4D33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9FD4863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N.A.</w:t>
            </w:r>
          </w:p>
        </w:tc>
      </w:tr>
      <w:tr w:rsidR="00852543" w:rsidRPr="002A4505" w14:paraId="3E936F95" w14:textId="77777777" w:rsidTr="00A05310">
        <w:trPr>
          <w:trHeight w:val="142"/>
        </w:trPr>
        <w:tc>
          <w:tcPr>
            <w:tcW w:w="1134" w:type="dxa"/>
            <w:shd w:val="clear" w:color="auto" w:fill="auto"/>
            <w:hideMark/>
          </w:tcPr>
          <w:p w14:paraId="4DA4523B" w14:textId="77777777" w:rsidR="00EE2A56" w:rsidRPr="002A4505" w:rsidRDefault="00EE2A56" w:rsidP="007A4B90">
            <w:pPr>
              <w:spacing w:after="120"/>
              <w:ind w:left="-10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F3914D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1A1815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E1AA0B0" w14:textId="77777777" w:rsidR="00EE2A56" w:rsidRPr="002A4505" w:rsidRDefault="00EE2A56" w:rsidP="00EE2A56">
            <w:pPr>
              <w:spacing w:after="120"/>
              <w:ind w:left="709"/>
              <w:jc w:val="both"/>
              <w:rPr>
                <w:bCs/>
                <w:sz w:val="22"/>
                <w:lang w:val="en-GB"/>
              </w:rPr>
            </w:pPr>
            <w:r w:rsidRPr="002A4505">
              <w:rPr>
                <w:bCs/>
                <w:sz w:val="22"/>
                <w:lang w:val="en-GB"/>
              </w:rPr>
              <w:t>N.A.</w:t>
            </w:r>
          </w:p>
        </w:tc>
      </w:tr>
    </w:tbl>
    <w:p w14:paraId="6E1B87AF" w14:textId="4E44A4C5" w:rsidR="00C34FDF" w:rsidRPr="008D4122" w:rsidRDefault="00837394" w:rsidP="00CA19C9">
      <w:pPr>
        <w:spacing w:after="120"/>
        <w:ind w:left="2268" w:right="1395" w:hanging="1134"/>
        <w:jc w:val="both"/>
        <w:rPr>
          <w:sz w:val="22"/>
          <w:lang w:val="en-GB"/>
        </w:rPr>
      </w:pPr>
      <w:r>
        <w:rPr>
          <w:sz w:val="22"/>
          <w:lang w:val="en-GB"/>
        </w:rPr>
        <w:t>“</w:t>
      </w:r>
    </w:p>
    <w:p w14:paraId="13AEF8D0" w14:textId="77777777" w:rsidR="00EE2A56" w:rsidRPr="00C34FDF" w:rsidRDefault="00EE2A56" w:rsidP="009E5784">
      <w:pPr>
        <w:spacing w:after="120"/>
        <w:jc w:val="both"/>
        <w:rPr>
          <w:sz w:val="22"/>
          <w:lang w:val="en-GB"/>
        </w:rPr>
      </w:pPr>
    </w:p>
    <w:p w14:paraId="3A8BF803" w14:textId="3DED75EB" w:rsidR="00EA020B" w:rsidRPr="007A4B90" w:rsidRDefault="00CA19C9" w:rsidP="00CA19C9">
      <w:pPr>
        <w:pStyle w:val="HChG"/>
        <w:rPr>
          <w:b w:val="0"/>
          <w:sz w:val="32"/>
          <w:lang w:val="fr-FR"/>
        </w:rPr>
      </w:pPr>
      <w:r>
        <w:lastRenderedPageBreak/>
        <w:tab/>
        <w:t>II.</w:t>
      </w:r>
      <w:r>
        <w:tab/>
      </w:r>
      <w:r w:rsidR="00EA020B" w:rsidRPr="00CA19C9">
        <w:t>Justification</w:t>
      </w:r>
      <w:r w:rsidR="00EA020B" w:rsidRPr="007A4B90">
        <w:rPr>
          <w:sz w:val="32"/>
          <w:lang w:val="fr-FR"/>
        </w:rPr>
        <w:t>:</w:t>
      </w:r>
    </w:p>
    <w:p w14:paraId="4BDEEDF0" w14:textId="0DABED6D" w:rsidR="00837394" w:rsidRPr="00837394" w:rsidRDefault="00837394" w:rsidP="00837394">
      <w:pPr>
        <w:numPr>
          <w:ilvl w:val="0"/>
          <w:numId w:val="1"/>
        </w:numPr>
        <w:suppressAutoHyphens/>
        <w:spacing w:after="120" w:line="240" w:lineRule="atLeast"/>
        <w:ind w:left="1560" w:right="1134" w:hanging="426"/>
        <w:jc w:val="both"/>
        <w:rPr>
          <w:sz w:val="22"/>
          <w:szCs w:val="22"/>
          <w:lang w:val="en-GB"/>
        </w:rPr>
      </w:pPr>
      <w:r w:rsidRPr="00837394">
        <w:rPr>
          <w:sz w:val="22"/>
          <w:szCs w:val="22"/>
          <w:lang w:val="en-GB"/>
        </w:rPr>
        <w:t>Regulation No. 48</w:t>
      </w:r>
      <w:r w:rsidR="00A05310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 xml:space="preserve">Regulation No. 53 </w:t>
      </w:r>
      <w:r w:rsidRPr="00837394">
        <w:rPr>
          <w:sz w:val="22"/>
          <w:szCs w:val="22"/>
          <w:lang w:val="en-GB"/>
        </w:rPr>
        <w:t xml:space="preserve">prescribe the use of specific categories of front direction indicators in relation to their distance from the dipped beam headlamp or front fog lamp. However, the text is such that </w:t>
      </w:r>
      <w:r>
        <w:rPr>
          <w:sz w:val="22"/>
          <w:szCs w:val="22"/>
          <w:lang w:val="en-GB"/>
        </w:rPr>
        <w:t xml:space="preserve">the higher </w:t>
      </w:r>
      <w:r w:rsidRPr="00837394">
        <w:rPr>
          <w:sz w:val="22"/>
          <w:szCs w:val="22"/>
          <w:lang w:val="en-GB"/>
        </w:rPr>
        <w:t>categories</w:t>
      </w:r>
      <w:r>
        <w:rPr>
          <w:sz w:val="22"/>
          <w:szCs w:val="22"/>
          <w:lang w:val="en-GB"/>
        </w:rPr>
        <w:t>, like 1a, 1b, 11b and 11c</w:t>
      </w:r>
      <w:r w:rsidRPr="00837394">
        <w:rPr>
          <w:sz w:val="22"/>
          <w:szCs w:val="22"/>
          <w:lang w:val="en-GB"/>
        </w:rPr>
        <w:t xml:space="preserve"> are allowed to be used also at any distance greater than the minimum prescribed for each of them. </w:t>
      </w:r>
    </w:p>
    <w:p w14:paraId="64E6020C" w14:textId="78890265" w:rsidR="00657952" w:rsidRPr="00837394" w:rsidRDefault="00837394" w:rsidP="00837394">
      <w:pPr>
        <w:numPr>
          <w:ilvl w:val="0"/>
          <w:numId w:val="1"/>
        </w:numPr>
        <w:suppressAutoHyphens/>
        <w:spacing w:after="120" w:line="240" w:lineRule="atLeast"/>
        <w:ind w:left="1560" w:right="1134" w:hanging="426"/>
        <w:jc w:val="both"/>
        <w:rPr>
          <w:sz w:val="22"/>
          <w:szCs w:val="22"/>
          <w:lang w:val="en-US" w:eastAsia="en-US"/>
        </w:rPr>
      </w:pPr>
      <w:r w:rsidRPr="00837394">
        <w:rPr>
          <w:sz w:val="22"/>
          <w:szCs w:val="22"/>
          <w:lang w:val="en-GB"/>
        </w:rPr>
        <w:t xml:space="preserve">As a consequence of the above-mentioned amendment, there is no reason to require a lower maximum value for the </w:t>
      </w:r>
      <w:r w:rsidR="00A05310">
        <w:rPr>
          <w:sz w:val="22"/>
          <w:szCs w:val="22"/>
          <w:lang w:val="en-GB"/>
        </w:rPr>
        <w:t>c</w:t>
      </w:r>
      <w:r w:rsidRPr="00837394">
        <w:rPr>
          <w:sz w:val="22"/>
          <w:szCs w:val="22"/>
          <w:lang w:val="en-GB"/>
        </w:rPr>
        <w:t>ategory 1</w:t>
      </w:r>
      <w:r w:rsidR="00A05310">
        <w:rPr>
          <w:sz w:val="22"/>
          <w:szCs w:val="22"/>
          <w:lang w:val="en-GB"/>
        </w:rPr>
        <w:t xml:space="preserve"> or</w:t>
      </w:r>
      <w:r>
        <w:rPr>
          <w:sz w:val="22"/>
          <w:szCs w:val="22"/>
          <w:lang w:val="en-GB"/>
        </w:rPr>
        <w:t xml:space="preserve"> category 11 and 11a</w:t>
      </w:r>
      <w:r w:rsidRPr="00837394">
        <w:rPr>
          <w:sz w:val="22"/>
          <w:szCs w:val="22"/>
          <w:lang w:val="en-GB"/>
        </w:rPr>
        <w:t xml:space="preserve"> front direction indicator</w:t>
      </w:r>
      <w:r w:rsidR="00A05310">
        <w:rPr>
          <w:sz w:val="22"/>
          <w:szCs w:val="22"/>
          <w:lang w:val="en-GB"/>
        </w:rPr>
        <w:t>s</w:t>
      </w:r>
      <w:r w:rsidRPr="00837394">
        <w:rPr>
          <w:sz w:val="22"/>
          <w:szCs w:val="22"/>
          <w:lang w:val="en-GB"/>
        </w:rPr>
        <w:t xml:space="preserve"> than that of the other categories. Therefore, it is proposed to align the maximum luminous intensity value of </w:t>
      </w:r>
      <w:r w:rsidR="00A05310">
        <w:rPr>
          <w:sz w:val="22"/>
          <w:szCs w:val="22"/>
          <w:lang w:val="en-GB"/>
        </w:rPr>
        <w:t>c</w:t>
      </w:r>
      <w:r w:rsidRPr="00837394">
        <w:rPr>
          <w:sz w:val="22"/>
          <w:szCs w:val="22"/>
          <w:lang w:val="en-GB"/>
        </w:rPr>
        <w:t xml:space="preserve">ategory 1 to that of </w:t>
      </w:r>
      <w:r w:rsidR="00A05310">
        <w:rPr>
          <w:sz w:val="22"/>
          <w:szCs w:val="22"/>
          <w:lang w:val="en-GB"/>
        </w:rPr>
        <w:t>c</w:t>
      </w:r>
      <w:r w:rsidRPr="00837394">
        <w:rPr>
          <w:sz w:val="22"/>
          <w:szCs w:val="22"/>
          <w:lang w:val="en-GB"/>
        </w:rPr>
        <w:t>ategories 1a and 1b</w:t>
      </w:r>
      <w:r>
        <w:rPr>
          <w:sz w:val="22"/>
          <w:szCs w:val="22"/>
          <w:lang w:val="en-GB"/>
        </w:rPr>
        <w:t xml:space="preserve"> and those of categories 11 and 11a to those of 11b and 11c.</w:t>
      </w:r>
    </w:p>
    <w:sectPr w:rsidR="00657952" w:rsidRPr="00837394" w:rsidSect="007A4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926" w:bottom="899" w:left="1080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48EF" w14:textId="77777777" w:rsidR="00CF48DA" w:rsidRDefault="00CF48DA">
      <w:r>
        <w:separator/>
      </w:r>
    </w:p>
  </w:endnote>
  <w:endnote w:type="continuationSeparator" w:id="0">
    <w:p w14:paraId="547847C7" w14:textId="77777777" w:rsidR="00CF48DA" w:rsidRDefault="00CF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6140" w14:textId="77777777" w:rsidR="006B7EA8" w:rsidRDefault="006B7E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24F8181" w14:textId="77777777" w:rsidR="006B7EA8" w:rsidRDefault="006B7E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2699" w14:textId="28737C8F" w:rsidR="006B7EA8" w:rsidRPr="00003B38" w:rsidRDefault="006B7EA8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91"/>
      <w:gridCol w:w="3301"/>
      <w:gridCol w:w="3308"/>
    </w:tblGrid>
    <w:tr w:rsidR="006B7EA8" w14:paraId="3CBB3CE1" w14:textId="77777777" w:rsidTr="00456852">
      <w:tc>
        <w:tcPr>
          <w:tcW w:w="3346" w:type="dxa"/>
        </w:tcPr>
        <w:p w14:paraId="3A11BD6F" w14:textId="3CD79BCC" w:rsidR="006B7EA8" w:rsidRDefault="006B7EA8" w:rsidP="00456852">
          <w:pPr>
            <w:pStyle w:val="Pidipagina"/>
          </w:pPr>
        </w:p>
      </w:tc>
      <w:tc>
        <w:tcPr>
          <w:tcW w:w="3347" w:type="dxa"/>
          <w:vAlign w:val="center"/>
        </w:tcPr>
        <w:p w14:paraId="559D1CEC" w14:textId="689E66FA" w:rsidR="006B7EA8" w:rsidRPr="003B229B" w:rsidRDefault="006B7EA8" w:rsidP="00FA586F">
          <w:pPr>
            <w:pStyle w:val="Pidipagina"/>
            <w:rPr>
              <w:rFonts w:ascii="Arial" w:hAnsi="Arial" w:cs="Arial"/>
              <w:sz w:val="20"/>
              <w:szCs w:val="20"/>
            </w:rPr>
          </w:pPr>
          <w:r w:rsidRPr="003B229B">
            <w:rPr>
              <w:rFonts w:ascii="Arial" w:hAnsi="Arial" w:cs="Arial"/>
              <w:sz w:val="20"/>
              <w:szCs w:val="20"/>
            </w:rPr>
            <w:t xml:space="preserve">Date: </w:t>
          </w:r>
          <w:r>
            <w:rPr>
              <w:rFonts w:ascii="Arial" w:hAnsi="Arial" w:cs="Arial"/>
              <w:sz w:val="20"/>
              <w:szCs w:val="20"/>
            </w:rPr>
            <w:t>2019-0</w:t>
          </w:r>
          <w:r w:rsidR="004C0E13">
            <w:rPr>
              <w:rFonts w:ascii="Arial" w:hAnsi="Arial" w:cs="Arial"/>
              <w:sz w:val="20"/>
              <w:szCs w:val="20"/>
            </w:rPr>
            <w:t>8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="004C0E13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3347" w:type="dxa"/>
          <w:vAlign w:val="center"/>
        </w:tcPr>
        <w:p w14:paraId="076B5C29" w14:textId="2F252043" w:rsidR="006B7EA8" w:rsidRDefault="006B7EA8" w:rsidP="00B110F0">
          <w:pPr>
            <w:pStyle w:val="Pidipagina"/>
          </w:pPr>
          <w:proofErr w:type="spellStart"/>
          <w:r w:rsidRPr="003B229B">
            <w:rPr>
              <w:rFonts w:ascii="Arial" w:hAnsi="Arial" w:cs="Arial"/>
              <w:sz w:val="20"/>
              <w:szCs w:val="20"/>
            </w:rPr>
            <w:t>Submitted</w:t>
          </w:r>
          <w:proofErr w:type="spellEnd"/>
          <w:r w:rsidRPr="003B229B">
            <w:rPr>
              <w:rFonts w:ascii="Arial" w:hAnsi="Arial" w:cs="Arial"/>
              <w:sz w:val="20"/>
              <w:szCs w:val="20"/>
            </w:rPr>
            <w:t xml:space="preserve">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4C0E13">
            <w:rPr>
              <w:rFonts w:ascii="Arial" w:hAnsi="Arial" w:cs="Arial"/>
              <w:sz w:val="20"/>
              <w:szCs w:val="20"/>
            </w:rPr>
            <w:t>GTB</w:t>
          </w:r>
        </w:p>
      </w:tc>
    </w:tr>
  </w:tbl>
  <w:p w14:paraId="761B4F1D" w14:textId="77777777" w:rsidR="006B7EA8" w:rsidRDefault="006B7EA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10B70167" w14:textId="77777777" w:rsidR="006B7EA8" w:rsidRPr="00003B38" w:rsidRDefault="006B7EA8" w:rsidP="00003B38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1C66" w14:textId="77777777" w:rsidR="00A05310" w:rsidRDefault="00A053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5DCD" w14:textId="77777777" w:rsidR="00CF48DA" w:rsidRDefault="00CF48DA">
      <w:r>
        <w:separator/>
      </w:r>
    </w:p>
  </w:footnote>
  <w:footnote w:type="continuationSeparator" w:id="0">
    <w:p w14:paraId="1A5D6DB8" w14:textId="77777777" w:rsidR="00CF48DA" w:rsidRDefault="00CF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BF84" w14:textId="77777777" w:rsidR="00A05310" w:rsidRDefault="00A053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CC52" w14:textId="77777777" w:rsidR="00A05310" w:rsidRDefault="00A053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C164" w14:textId="77777777" w:rsidR="00A05310" w:rsidRDefault="00A05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EA4"/>
    <w:multiLevelType w:val="hybridMultilevel"/>
    <w:tmpl w:val="EE34D220"/>
    <w:lvl w:ilvl="0" w:tplc="B770B96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7CA37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19A7B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09A21D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1A704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B109F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CC8C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EF422D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224EF5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0CFA"/>
    <w:multiLevelType w:val="hybridMultilevel"/>
    <w:tmpl w:val="82929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84"/>
    <w:rsid w:val="00003B38"/>
    <w:rsid w:val="00017343"/>
    <w:rsid w:val="0002381C"/>
    <w:rsid w:val="00044C3E"/>
    <w:rsid w:val="00095C9F"/>
    <w:rsid w:val="000C4E7E"/>
    <w:rsid w:val="000D2051"/>
    <w:rsid w:val="000E02E6"/>
    <w:rsid w:val="000E64E9"/>
    <w:rsid w:val="000F2187"/>
    <w:rsid w:val="000F5362"/>
    <w:rsid w:val="00120D0E"/>
    <w:rsid w:val="00122B77"/>
    <w:rsid w:val="00132CB4"/>
    <w:rsid w:val="00147EC1"/>
    <w:rsid w:val="0016444E"/>
    <w:rsid w:val="001929FE"/>
    <w:rsid w:val="001A7B2A"/>
    <w:rsid w:val="001B4106"/>
    <w:rsid w:val="001D5863"/>
    <w:rsid w:val="001E605C"/>
    <w:rsid w:val="00201434"/>
    <w:rsid w:val="002101AC"/>
    <w:rsid w:val="00217CB2"/>
    <w:rsid w:val="002234E2"/>
    <w:rsid w:val="0023444A"/>
    <w:rsid w:val="002744D6"/>
    <w:rsid w:val="002806D8"/>
    <w:rsid w:val="002976DC"/>
    <w:rsid w:val="002A4505"/>
    <w:rsid w:val="002B34FE"/>
    <w:rsid w:val="002B4940"/>
    <w:rsid w:val="002C33C5"/>
    <w:rsid w:val="002C5C1E"/>
    <w:rsid w:val="002C74A1"/>
    <w:rsid w:val="002F292A"/>
    <w:rsid w:val="00304014"/>
    <w:rsid w:val="00345FF7"/>
    <w:rsid w:val="00346BA0"/>
    <w:rsid w:val="003A12CD"/>
    <w:rsid w:val="003B229B"/>
    <w:rsid w:val="00410093"/>
    <w:rsid w:val="004449ED"/>
    <w:rsid w:val="00456852"/>
    <w:rsid w:val="004B1EAD"/>
    <w:rsid w:val="004B2C9D"/>
    <w:rsid w:val="004C0E13"/>
    <w:rsid w:val="004C2E62"/>
    <w:rsid w:val="004C491A"/>
    <w:rsid w:val="004D36C1"/>
    <w:rsid w:val="004E1C3D"/>
    <w:rsid w:val="004E369F"/>
    <w:rsid w:val="00502095"/>
    <w:rsid w:val="005114F1"/>
    <w:rsid w:val="00522229"/>
    <w:rsid w:val="005264D5"/>
    <w:rsid w:val="005414BF"/>
    <w:rsid w:val="00556479"/>
    <w:rsid w:val="005751F5"/>
    <w:rsid w:val="005A6170"/>
    <w:rsid w:val="005B77ED"/>
    <w:rsid w:val="005E0C52"/>
    <w:rsid w:val="00621CE7"/>
    <w:rsid w:val="0063782B"/>
    <w:rsid w:val="00657952"/>
    <w:rsid w:val="00671E2C"/>
    <w:rsid w:val="006766B3"/>
    <w:rsid w:val="006901D7"/>
    <w:rsid w:val="006A2D9A"/>
    <w:rsid w:val="006A6950"/>
    <w:rsid w:val="006A7A5E"/>
    <w:rsid w:val="006B7EA8"/>
    <w:rsid w:val="006C0AEC"/>
    <w:rsid w:val="006C5AD2"/>
    <w:rsid w:val="006E33A4"/>
    <w:rsid w:val="006E7E6D"/>
    <w:rsid w:val="006F21AF"/>
    <w:rsid w:val="006F2897"/>
    <w:rsid w:val="006F65B0"/>
    <w:rsid w:val="00713FBD"/>
    <w:rsid w:val="0071515F"/>
    <w:rsid w:val="0071619F"/>
    <w:rsid w:val="007277AE"/>
    <w:rsid w:val="0073512F"/>
    <w:rsid w:val="00736837"/>
    <w:rsid w:val="00737FB4"/>
    <w:rsid w:val="00744D54"/>
    <w:rsid w:val="0076178F"/>
    <w:rsid w:val="007658F9"/>
    <w:rsid w:val="00776021"/>
    <w:rsid w:val="0078115D"/>
    <w:rsid w:val="00782466"/>
    <w:rsid w:val="007971D9"/>
    <w:rsid w:val="007A4B90"/>
    <w:rsid w:val="007B1C82"/>
    <w:rsid w:val="007B4D16"/>
    <w:rsid w:val="007C3A05"/>
    <w:rsid w:val="007C6C95"/>
    <w:rsid w:val="007E015B"/>
    <w:rsid w:val="007F72F4"/>
    <w:rsid w:val="008021FA"/>
    <w:rsid w:val="0082206B"/>
    <w:rsid w:val="008348FE"/>
    <w:rsid w:val="00834A31"/>
    <w:rsid w:val="00835B0D"/>
    <w:rsid w:val="00837394"/>
    <w:rsid w:val="00852543"/>
    <w:rsid w:val="00871E0B"/>
    <w:rsid w:val="0087604F"/>
    <w:rsid w:val="008A17C2"/>
    <w:rsid w:val="008A29D3"/>
    <w:rsid w:val="008B6739"/>
    <w:rsid w:val="008C14FC"/>
    <w:rsid w:val="008D4122"/>
    <w:rsid w:val="008E6BE8"/>
    <w:rsid w:val="008F544B"/>
    <w:rsid w:val="00906CB9"/>
    <w:rsid w:val="00934134"/>
    <w:rsid w:val="009430E4"/>
    <w:rsid w:val="0095546B"/>
    <w:rsid w:val="009706C2"/>
    <w:rsid w:val="0098540F"/>
    <w:rsid w:val="009A4FED"/>
    <w:rsid w:val="009A5448"/>
    <w:rsid w:val="009A5F75"/>
    <w:rsid w:val="009A6A32"/>
    <w:rsid w:val="009B44B5"/>
    <w:rsid w:val="009B4B99"/>
    <w:rsid w:val="009D24BF"/>
    <w:rsid w:val="009E5784"/>
    <w:rsid w:val="00A05310"/>
    <w:rsid w:val="00A06A89"/>
    <w:rsid w:val="00A14466"/>
    <w:rsid w:val="00A20103"/>
    <w:rsid w:val="00A3066F"/>
    <w:rsid w:val="00A504F5"/>
    <w:rsid w:val="00A70BAB"/>
    <w:rsid w:val="00A967FB"/>
    <w:rsid w:val="00A975A0"/>
    <w:rsid w:val="00AB1096"/>
    <w:rsid w:val="00AC7291"/>
    <w:rsid w:val="00AD7473"/>
    <w:rsid w:val="00AE4517"/>
    <w:rsid w:val="00AF57A1"/>
    <w:rsid w:val="00B110F0"/>
    <w:rsid w:val="00B16129"/>
    <w:rsid w:val="00B16868"/>
    <w:rsid w:val="00B323D6"/>
    <w:rsid w:val="00B430C7"/>
    <w:rsid w:val="00B72A57"/>
    <w:rsid w:val="00B94376"/>
    <w:rsid w:val="00BB45C1"/>
    <w:rsid w:val="00BC15B8"/>
    <w:rsid w:val="00BC7D35"/>
    <w:rsid w:val="00BD3F20"/>
    <w:rsid w:val="00BD7398"/>
    <w:rsid w:val="00BE6B45"/>
    <w:rsid w:val="00C11C10"/>
    <w:rsid w:val="00C17267"/>
    <w:rsid w:val="00C32D36"/>
    <w:rsid w:val="00C331C6"/>
    <w:rsid w:val="00C34FDF"/>
    <w:rsid w:val="00C628EA"/>
    <w:rsid w:val="00C64BAD"/>
    <w:rsid w:val="00C7611D"/>
    <w:rsid w:val="00CA19C9"/>
    <w:rsid w:val="00CA5E85"/>
    <w:rsid w:val="00CC3ECF"/>
    <w:rsid w:val="00CC4B6F"/>
    <w:rsid w:val="00CF48DA"/>
    <w:rsid w:val="00D16AE0"/>
    <w:rsid w:val="00D247AD"/>
    <w:rsid w:val="00D37F7D"/>
    <w:rsid w:val="00D52398"/>
    <w:rsid w:val="00DA07E5"/>
    <w:rsid w:val="00DB28D0"/>
    <w:rsid w:val="00DE0594"/>
    <w:rsid w:val="00DF2030"/>
    <w:rsid w:val="00E020C6"/>
    <w:rsid w:val="00E14E2F"/>
    <w:rsid w:val="00E161BC"/>
    <w:rsid w:val="00E23BFA"/>
    <w:rsid w:val="00E36B4B"/>
    <w:rsid w:val="00E43AC4"/>
    <w:rsid w:val="00E57AA8"/>
    <w:rsid w:val="00E80FEA"/>
    <w:rsid w:val="00E81592"/>
    <w:rsid w:val="00E86EC7"/>
    <w:rsid w:val="00E92CBD"/>
    <w:rsid w:val="00E9365B"/>
    <w:rsid w:val="00EA020B"/>
    <w:rsid w:val="00EB70F2"/>
    <w:rsid w:val="00ED08BE"/>
    <w:rsid w:val="00ED2EF7"/>
    <w:rsid w:val="00EE104E"/>
    <w:rsid w:val="00EE2A56"/>
    <w:rsid w:val="00EE66EA"/>
    <w:rsid w:val="00F01ABB"/>
    <w:rsid w:val="00F13B29"/>
    <w:rsid w:val="00F36F5E"/>
    <w:rsid w:val="00F40A0E"/>
    <w:rsid w:val="00F43704"/>
    <w:rsid w:val="00F60C20"/>
    <w:rsid w:val="00F72663"/>
    <w:rsid w:val="00F827EE"/>
    <w:rsid w:val="00F94A0C"/>
    <w:rsid w:val="00FA23DC"/>
    <w:rsid w:val="00FA586F"/>
    <w:rsid w:val="00FC2142"/>
    <w:rsid w:val="00FC6668"/>
    <w:rsid w:val="00FE523C"/>
    <w:rsid w:val="00FE5EA7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46B4C"/>
  <w15:chartTrackingRefBased/>
  <w15:docId w15:val="{14532B62-6418-4DB4-9296-93B9C6CD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16AE0"/>
    <w:rPr>
      <w:sz w:val="24"/>
      <w:szCs w:val="24"/>
      <w:lang w:val="it-IT" w:eastAsia="it-IT"/>
    </w:rPr>
  </w:style>
  <w:style w:type="paragraph" w:styleId="Titolo2">
    <w:name w:val="heading 2"/>
    <w:aliases w:val="h2,H2"/>
    <w:basedOn w:val="Normale"/>
    <w:next w:val="Normale"/>
    <w:qFormat/>
    <w:rsid w:val="00D16AE0"/>
    <w:pPr>
      <w:keepNext/>
      <w:jc w:val="right"/>
      <w:outlineLvl w:val="1"/>
    </w:pPr>
    <w:rPr>
      <w:rFonts w:ascii="Arial" w:hAnsi="Arial"/>
      <w:b/>
      <w:sz w:val="32"/>
      <w:szCs w:val="20"/>
      <w:lang w:val="en-US" w:eastAsia="en-US"/>
    </w:rPr>
  </w:style>
  <w:style w:type="paragraph" w:styleId="Titolo7">
    <w:name w:val="heading 7"/>
    <w:basedOn w:val="Normale"/>
    <w:next w:val="Normale"/>
    <w:qFormat/>
    <w:rsid w:val="00D16AE0"/>
    <w:pPr>
      <w:keepNext/>
      <w:outlineLvl w:val="6"/>
    </w:pPr>
    <w:rPr>
      <w:rFonts w:ascii="Arial Black" w:hAnsi="Arial Black"/>
      <w:i/>
      <w:color w:val="333399"/>
      <w:sz w:val="7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16AE0"/>
    <w:rPr>
      <w:color w:val="0000FF"/>
      <w:u w:val="single"/>
    </w:rPr>
  </w:style>
  <w:style w:type="paragraph" w:styleId="Intestazione">
    <w:name w:val="header"/>
    <w:aliases w:val="6_G"/>
    <w:basedOn w:val="Normale"/>
    <w:link w:val="IntestazioneCarattere"/>
    <w:rsid w:val="00D16A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16AE0"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sid w:val="00D16AE0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D16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4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448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9A54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4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44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44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5448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122B77"/>
    <w:rPr>
      <w:sz w:val="24"/>
      <w:szCs w:val="24"/>
    </w:rPr>
  </w:style>
  <w:style w:type="table" w:styleId="Grigliatabella">
    <w:name w:val="Table Grid"/>
    <w:basedOn w:val="Tabellanormale"/>
    <w:rsid w:val="003B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58C"/>
    <w:pPr>
      <w:ind w:left="720"/>
      <w:contextualSpacing/>
    </w:pPr>
  </w:style>
  <w:style w:type="paragraph" w:customStyle="1" w:styleId="SingleTxtG">
    <w:name w:val="_ Single Txt_G"/>
    <w:basedOn w:val="Normale"/>
    <w:link w:val="SingleTxtGChar"/>
    <w:qFormat/>
    <w:rsid w:val="00FF058C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F058C"/>
    <w:rPr>
      <w:lang w:val="en-GB" w:eastAsia="en-US"/>
    </w:rPr>
  </w:style>
  <w:style w:type="paragraph" w:styleId="NormaleWeb">
    <w:name w:val="Normal (Web)"/>
    <w:basedOn w:val="Normale"/>
    <w:uiPriority w:val="99"/>
    <w:unhideWhenUsed/>
    <w:rsid w:val="0002381C"/>
    <w:pPr>
      <w:spacing w:before="100" w:beforeAutospacing="1" w:after="100" w:afterAutospacing="1"/>
    </w:pPr>
    <w:rPr>
      <w:lang w:val="de-DE" w:eastAsia="de-DE"/>
    </w:rPr>
  </w:style>
  <w:style w:type="character" w:customStyle="1" w:styleId="IntestazioneCarattere">
    <w:name w:val="Intestazione Carattere"/>
    <w:aliases w:val="6_G Carattere"/>
    <w:link w:val="Intestazione"/>
    <w:rsid w:val="002B34FE"/>
    <w:rPr>
      <w:sz w:val="24"/>
      <w:szCs w:val="24"/>
      <w:lang w:val="it-IT" w:eastAsia="it-IT"/>
    </w:rPr>
  </w:style>
  <w:style w:type="paragraph" w:customStyle="1" w:styleId="HChG">
    <w:name w:val="_ H _Ch_G"/>
    <w:basedOn w:val="Normale"/>
    <w:next w:val="Normale"/>
    <w:link w:val="HChGChar"/>
    <w:qFormat/>
    <w:rsid w:val="00A144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1446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052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cth1\Documents\_GREMIEN\G%20T%20B\GTB%20Standard%20front%20she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E212-FCE6-4E1C-B749-36AF6A6C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GTB Standard front sheet.dot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GTB cover page</vt:lpstr>
      <vt:lpstr>GTB cover page</vt:lpstr>
    </vt:vector>
  </TitlesOfParts>
  <Company>CUNA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GTB cover page</dc:title>
  <dc:subject/>
  <dc:creator>Bauckhage, Thomas</dc:creator>
  <cp:keywords/>
  <cp:lastModifiedBy>Davide Puglisi</cp:lastModifiedBy>
  <cp:revision>3</cp:revision>
  <dcterms:created xsi:type="dcterms:W3CDTF">2019-09-04T03:39:00Z</dcterms:created>
  <dcterms:modified xsi:type="dcterms:W3CDTF">2019-09-26T16:36:00Z</dcterms:modified>
</cp:coreProperties>
</file>