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3233E" w14:textId="3E3BC615" w:rsidR="007B4905" w:rsidRDefault="007B4905" w:rsidP="00D70B49">
      <w:pPr>
        <w:jc w:val="center"/>
        <w:rPr>
          <w:rFonts w:ascii="Palatino Linotype" w:eastAsia="Palatino Linotype" w:hAnsi="Palatino Linotype" w:cs="Palatino Linotype"/>
          <w:b/>
          <w:bCs/>
          <w:i/>
          <w:iCs/>
          <w:color w:val="000000"/>
        </w:rPr>
      </w:pPr>
    </w:p>
    <w:p w14:paraId="298060FF" w14:textId="77777777" w:rsidR="00D70B49" w:rsidRDefault="00D70B49" w:rsidP="00D70B49">
      <w:pPr>
        <w:jc w:val="center"/>
        <w:rPr>
          <w:rFonts w:ascii="Palatino Linotype" w:eastAsia="Palatino Linotype" w:hAnsi="Palatino Linotype" w:cs="Palatino Linotype"/>
          <w:b/>
          <w:bCs/>
          <w:i/>
          <w:iCs/>
          <w:color w:val="000000"/>
        </w:rPr>
      </w:pPr>
      <w:r>
        <w:rPr>
          <w:rFonts w:ascii="Palatino Linotype" w:eastAsia="Palatino Linotype" w:hAnsi="Palatino Linotype" w:cs="Palatino Linotype"/>
          <w:b/>
          <w:bCs/>
          <w:i/>
          <w:iCs/>
          <w:color w:val="000000"/>
        </w:rPr>
        <w:t>Correlations between some UN Regulations and UN Rules</w:t>
      </w:r>
    </w:p>
    <w:p w14:paraId="3D15E829" w14:textId="77777777" w:rsidR="00D70B49" w:rsidRDefault="00D70B49" w:rsidP="00D70B49">
      <w:pPr>
        <w:rPr>
          <w:rFonts w:ascii="Palatino Linotype" w:eastAsia="Palatino Linotype" w:hAnsi="Palatino Linotype" w:cs="Palatino Linotype"/>
          <w:b/>
          <w:bCs/>
          <w:i/>
          <w:iCs/>
          <w:color w:val="000000"/>
        </w:rPr>
      </w:pPr>
    </w:p>
    <w:tbl>
      <w:tblPr>
        <w:tblStyle w:val="Taulaambquadrcula"/>
        <w:tblW w:w="0" w:type="auto"/>
        <w:tblLook w:val="04A0" w:firstRow="1" w:lastRow="0" w:firstColumn="1" w:lastColumn="0" w:noHBand="0" w:noVBand="1"/>
      </w:tblPr>
      <w:tblGrid>
        <w:gridCol w:w="2065"/>
        <w:gridCol w:w="2340"/>
        <w:gridCol w:w="1890"/>
        <w:gridCol w:w="2721"/>
      </w:tblGrid>
      <w:tr w:rsidR="00D70B49" w14:paraId="3827E359" w14:textId="77777777" w:rsidTr="00FA76A2">
        <w:trPr>
          <w:tblHeader/>
        </w:trPr>
        <w:tc>
          <w:tcPr>
            <w:tcW w:w="2065" w:type="dxa"/>
            <w:shd w:val="clear" w:color="auto" w:fill="D9D9D9" w:themeFill="background1" w:themeFillShade="D9"/>
          </w:tcPr>
          <w:p w14:paraId="0C78385A" w14:textId="77777777" w:rsidR="003F11B2" w:rsidRDefault="003F11B2" w:rsidP="00D70B49">
            <w:pPr>
              <w:rPr>
                <w:rFonts w:ascii="Palatino Linotype" w:eastAsia="Palatino Linotype" w:hAnsi="Palatino Linotype" w:cs="Palatino Linotype"/>
                <w:color w:val="000000"/>
                <w:sz w:val="20"/>
                <w:szCs w:val="20"/>
              </w:rPr>
            </w:pPr>
          </w:p>
          <w:p w14:paraId="7B1684CC" w14:textId="77777777" w:rsidR="00D70B49" w:rsidRDefault="00D70B49" w:rsidP="00D70B49">
            <w:pP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UN Reg</w:t>
            </w:r>
            <w:r w:rsidR="003F11B2">
              <w:rPr>
                <w:rFonts w:ascii="Palatino Linotype" w:eastAsia="Palatino Linotype" w:hAnsi="Palatino Linotype" w:cs="Palatino Linotype"/>
                <w:color w:val="000000"/>
                <w:sz w:val="20"/>
                <w:szCs w:val="20"/>
              </w:rPr>
              <w:t>ulation</w:t>
            </w:r>
            <w:r>
              <w:rPr>
                <w:rFonts w:ascii="Palatino Linotype" w:eastAsia="Palatino Linotype" w:hAnsi="Palatino Linotype" w:cs="Palatino Linotype"/>
                <w:color w:val="000000"/>
                <w:sz w:val="20"/>
                <w:szCs w:val="20"/>
              </w:rPr>
              <w:t xml:space="preserve"> </w:t>
            </w:r>
            <w:bookmarkStart w:id="0" w:name="_GoBack"/>
            <w:bookmarkEnd w:id="0"/>
            <w:r>
              <w:rPr>
                <w:rFonts w:ascii="Palatino Linotype" w:eastAsia="Palatino Linotype" w:hAnsi="Palatino Linotype" w:cs="Palatino Linotype"/>
                <w:color w:val="000000"/>
                <w:sz w:val="20"/>
                <w:szCs w:val="20"/>
              </w:rPr>
              <w:t>No.</w:t>
            </w:r>
          </w:p>
          <w:p w14:paraId="29F1777A" w14:textId="77777777" w:rsidR="003F11B2" w:rsidRDefault="003F11B2" w:rsidP="00D70B49">
            <w:pPr>
              <w:rPr>
                <w:rFonts w:ascii="Palatino Linotype" w:eastAsia="Palatino Linotype" w:hAnsi="Palatino Linotype" w:cs="Palatino Linotype"/>
                <w:color w:val="000000"/>
              </w:rPr>
            </w:pPr>
          </w:p>
        </w:tc>
        <w:tc>
          <w:tcPr>
            <w:tcW w:w="2340" w:type="dxa"/>
            <w:shd w:val="clear" w:color="auto" w:fill="D9D9D9" w:themeFill="background1" w:themeFillShade="D9"/>
          </w:tcPr>
          <w:p w14:paraId="2F81566B" w14:textId="77777777" w:rsidR="003F11B2" w:rsidRDefault="003F11B2" w:rsidP="00D70B49">
            <w:pPr>
              <w:rPr>
                <w:rFonts w:ascii="Palatino Linotype" w:eastAsia="Palatino Linotype" w:hAnsi="Palatino Linotype" w:cs="Palatino Linotype"/>
                <w:color w:val="000000"/>
                <w:sz w:val="20"/>
                <w:szCs w:val="20"/>
              </w:rPr>
            </w:pPr>
          </w:p>
          <w:p w14:paraId="0FDD0B35" w14:textId="5714A8EA"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Item</w:t>
            </w:r>
          </w:p>
        </w:tc>
        <w:tc>
          <w:tcPr>
            <w:tcW w:w="1890" w:type="dxa"/>
            <w:shd w:val="clear" w:color="auto" w:fill="D9D9D9" w:themeFill="background1" w:themeFillShade="D9"/>
          </w:tcPr>
          <w:p w14:paraId="2E03BCE8" w14:textId="77777777" w:rsidR="003F11B2" w:rsidRDefault="003F11B2" w:rsidP="00D70B49">
            <w:pPr>
              <w:rPr>
                <w:rFonts w:ascii="Palatino Linotype" w:eastAsia="Palatino Linotype" w:hAnsi="Palatino Linotype" w:cs="Palatino Linotype"/>
                <w:color w:val="000000"/>
                <w:sz w:val="20"/>
                <w:szCs w:val="20"/>
              </w:rPr>
            </w:pPr>
          </w:p>
          <w:p w14:paraId="6072E326"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UN Rule No.</w:t>
            </w:r>
          </w:p>
        </w:tc>
        <w:tc>
          <w:tcPr>
            <w:tcW w:w="2721" w:type="dxa"/>
            <w:shd w:val="clear" w:color="auto" w:fill="D9D9D9" w:themeFill="background1" w:themeFillShade="D9"/>
          </w:tcPr>
          <w:p w14:paraId="328124F6" w14:textId="77777777" w:rsidR="003F11B2" w:rsidRDefault="003F11B2" w:rsidP="00D70B49">
            <w:pPr>
              <w:rPr>
                <w:rFonts w:ascii="Palatino Linotype" w:eastAsia="Palatino Linotype" w:hAnsi="Palatino Linotype" w:cs="Palatino Linotype"/>
                <w:color w:val="000000"/>
                <w:sz w:val="20"/>
                <w:szCs w:val="20"/>
              </w:rPr>
            </w:pPr>
          </w:p>
          <w:p w14:paraId="1F73CA62" w14:textId="77777777" w:rsidR="00D70B49" w:rsidRPr="003F11B2" w:rsidRDefault="00D70B49" w:rsidP="00D70B49">
            <w:pP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Item</w:t>
            </w:r>
          </w:p>
        </w:tc>
      </w:tr>
      <w:tr w:rsidR="00D70B49" w14:paraId="4628189D" w14:textId="77777777" w:rsidTr="00FA76A2">
        <w:tc>
          <w:tcPr>
            <w:tcW w:w="2065" w:type="dxa"/>
            <w:vMerge w:val="restart"/>
          </w:tcPr>
          <w:p w14:paraId="6D49ADB0"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13 - Braking</w:t>
            </w:r>
          </w:p>
        </w:tc>
        <w:tc>
          <w:tcPr>
            <w:tcW w:w="2340" w:type="dxa"/>
          </w:tcPr>
          <w:p w14:paraId="3E992968"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5.1.4.6.3</w:t>
            </w:r>
          </w:p>
        </w:tc>
        <w:tc>
          <w:tcPr>
            <w:tcW w:w="1890" w:type="dxa"/>
          </w:tcPr>
          <w:p w14:paraId="14D646FC"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2</w:t>
            </w:r>
          </w:p>
        </w:tc>
        <w:tc>
          <w:tcPr>
            <w:tcW w:w="2721" w:type="dxa"/>
          </w:tcPr>
          <w:p w14:paraId="7B6E00F8"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1.2.2 Efficiency</w:t>
            </w:r>
          </w:p>
        </w:tc>
      </w:tr>
      <w:tr w:rsidR="00D70B49" w14:paraId="71247203" w14:textId="77777777" w:rsidTr="00AB42B3">
        <w:tc>
          <w:tcPr>
            <w:tcW w:w="2065" w:type="dxa"/>
            <w:vMerge/>
          </w:tcPr>
          <w:p w14:paraId="0B4515E1" w14:textId="77777777" w:rsidR="00D70B49" w:rsidRDefault="00D70B49" w:rsidP="00D70B49">
            <w:pPr>
              <w:rPr>
                <w:rFonts w:ascii="Palatino Linotype" w:eastAsia="Palatino Linotype" w:hAnsi="Palatino Linotype" w:cs="Palatino Linotype"/>
                <w:color w:val="000000"/>
              </w:rPr>
            </w:pPr>
          </w:p>
        </w:tc>
        <w:tc>
          <w:tcPr>
            <w:tcW w:w="6951" w:type="dxa"/>
            <w:gridSpan w:val="3"/>
          </w:tcPr>
          <w:p w14:paraId="74652038" w14:textId="77777777" w:rsidR="00D70B49" w:rsidRDefault="00D70B49" w:rsidP="00D70B49">
            <w:pPr>
              <w:pStyle w:val="TableContent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Note: </w:t>
            </w:r>
          </w:p>
          <w:p w14:paraId="6691E91F" w14:textId="77777777" w:rsidR="00D70B49" w:rsidRDefault="00D70B49" w:rsidP="00D70B49">
            <w:pPr>
              <w:pStyle w:val="TableContents"/>
              <w:tabs>
                <w:tab w:val="left" w:pos="0"/>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1)</w:t>
            </w:r>
            <w:r>
              <w:rPr>
                <w:rFonts w:ascii="Palatino Linotype" w:eastAsia="Palatino Linotype" w:hAnsi="Palatino Linotype" w:cs="Palatino Linotype"/>
                <w:color w:val="000000"/>
                <w:sz w:val="20"/>
                <w:szCs w:val="20"/>
              </w:rPr>
              <w:tab/>
              <w:t>Values in corresponding items of the UN Rule No. 2 and UN Reg. No.13 match, for vehicles registered for the first time after 1/1/2012;</w:t>
            </w:r>
          </w:p>
          <w:p w14:paraId="06A92FF1" w14:textId="77777777" w:rsidR="00D70B49" w:rsidRDefault="00D70B49" w:rsidP="00D70B49">
            <w:pPr>
              <w:pStyle w:val="TableContents"/>
              <w:tabs>
                <w:tab w:val="left" w:pos="0"/>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2)</w:t>
            </w:r>
            <w:r>
              <w:rPr>
                <w:rFonts w:ascii="Palatino Linotype" w:eastAsia="Palatino Linotype" w:hAnsi="Palatino Linotype" w:cs="Palatino Linotype"/>
                <w:color w:val="000000"/>
                <w:sz w:val="20"/>
                <w:szCs w:val="20"/>
              </w:rPr>
              <w:tab/>
              <w:t xml:space="preserve">Appropriate values have been taken for vehicles registered for the first time before 1/1/2012, having regard to the state of </w:t>
            </w:r>
            <w:r w:rsidR="003F11B2">
              <w:rPr>
                <w:rFonts w:ascii="Palatino Linotype" w:eastAsia="Palatino Linotype" w:hAnsi="Palatino Linotype" w:cs="Palatino Linotype"/>
                <w:color w:val="000000"/>
                <w:sz w:val="20"/>
                <w:szCs w:val="20"/>
              </w:rPr>
              <w:t>the technique</w:t>
            </w:r>
            <w:r>
              <w:rPr>
                <w:rFonts w:ascii="Palatino Linotype" w:eastAsia="Palatino Linotype" w:hAnsi="Palatino Linotype" w:cs="Palatino Linotype"/>
                <w:color w:val="000000"/>
                <w:sz w:val="20"/>
                <w:szCs w:val="20"/>
              </w:rPr>
              <w:t xml:space="preserve"> (whether ABS was installed, type-approval before 1.10.1991, etc.);</w:t>
            </w:r>
          </w:p>
          <w:p w14:paraId="23A0F6B0"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3)     Item 1.2.2 of the Rule No.2 covers the categories M</w:t>
            </w:r>
            <w:r w:rsidRPr="008D267E">
              <w:rPr>
                <w:rFonts w:ascii="Palatino Linotype" w:eastAsia="Palatino Linotype" w:hAnsi="Palatino Linotype" w:cs="Palatino Linotype"/>
                <w:color w:val="000000"/>
                <w:sz w:val="20"/>
                <w:szCs w:val="20"/>
                <w:vertAlign w:val="subscript"/>
              </w:rPr>
              <w:t>1</w:t>
            </w:r>
            <w:r>
              <w:rPr>
                <w:rFonts w:ascii="Palatino Linotype" w:eastAsia="Palatino Linotype" w:hAnsi="Palatino Linotype" w:cs="Palatino Linotype"/>
                <w:color w:val="000000"/>
                <w:sz w:val="20"/>
                <w:szCs w:val="20"/>
              </w:rPr>
              <w:t>, M</w:t>
            </w:r>
            <w:r w:rsidRPr="008D267E">
              <w:rPr>
                <w:rFonts w:ascii="Palatino Linotype" w:eastAsia="Palatino Linotype" w:hAnsi="Palatino Linotype" w:cs="Palatino Linotype"/>
                <w:color w:val="000000"/>
                <w:sz w:val="20"/>
                <w:szCs w:val="20"/>
                <w:vertAlign w:val="subscript"/>
              </w:rPr>
              <w:t>2</w:t>
            </w:r>
            <w:r>
              <w:rPr>
                <w:rFonts w:ascii="Palatino Linotype" w:eastAsia="Palatino Linotype" w:hAnsi="Palatino Linotype" w:cs="Palatino Linotype"/>
                <w:color w:val="000000"/>
                <w:sz w:val="20"/>
                <w:szCs w:val="20"/>
              </w:rPr>
              <w:t>, M</w:t>
            </w:r>
            <w:r w:rsidRPr="008D267E">
              <w:rPr>
                <w:rFonts w:ascii="Palatino Linotype" w:eastAsia="Palatino Linotype" w:hAnsi="Palatino Linotype" w:cs="Palatino Linotype"/>
                <w:color w:val="000000"/>
                <w:sz w:val="20"/>
                <w:szCs w:val="20"/>
                <w:vertAlign w:val="subscript"/>
              </w:rPr>
              <w:t>3</w:t>
            </w:r>
            <w:r>
              <w:rPr>
                <w:rFonts w:ascii="Palatino Linotype" w:eastAsia="Palatino Linotype" w:hAnsi="Palatino Linotype" w:cs="Palatino Linotype"/>
                <w:color w:val="000000"/>
                <w:sz w:val="20"/>
                <w:szCs w:val="20"/>
              </w:rPr>
              <w:t>, N</w:t>
            </w:r>
            <w:r w:rsidRPr="008D267E">
              <w:rPr>
                <w:rFonts w:ascii="Palatino Linotype" w:eastAsia="Palatino Linotype" w:hAnsi="Palatino Linotype" w:cs="Palatino Linotype"/>
                <w:color w:val="000000"/>
                <w:sz w:val="20"/>
                <w:szCs w:val="20"/>
                <w:vertAlign w:val="subscript"/>
              </w:rPr>
              <w:t>1</w:t>
            </w:r>
            <w:r>
              <w:rPr>
                <w:rFonts w:ascii="Palatino Linotype" w:eastAsia="Palatino Linotype" w:hAnsi="Palatino Linotype" w:cs="Palatino Linotype"/>
                <w:color w:val="000000"/>
                <w:sz w:val="20"/>
                <w:szCs w:val="20"/>
              </w:rPr>
              <w:t>, N</w:t>
            </w:r>
            <w:r w:rsidRPr="008D267E">
              <w:rPr>
                <w:rFonts w:ascii="Palatino Linotype" w:eastAsia="Palatino Linotype" w:hAnsi="Palatino Linotype" w:cs="Palatino Linotype"/>
                <w:color w:val="000000"/>
                <w:sz w:val="20"/>
                <w:szCs w:val="20"/>
                <w:vertAlign w:val="subscript"/>
              </w:rPr>
              <w:t>2</w:t>
            </w:r>
            <w:r>
              <w:rPr>
                <w:rFonts w:ascii="Palatino Linotype" w:eastAsia="Palatino Linotype" w:hAnsi="Palatino Linotype" w:cs="Palatino Linotype"/>
                <w:color w:val="000000"/>
                <w:sz w:val="20"/>
                <w:szCs w:val="20"/>
              </w:rPr>
              <w:t>, N</w:t>
            </w:r>
            <w:r w:rsidRPr="008D267E">
              <w:rPr>
                <w:rFonts w:ascii="Palatino Linotype" w:eastAsia="Palatino Linotype" w:hAnsi="Palatino Linotype" w:cs="Palatino Linotype"/>
                <w:color w:val="000000"/>
                <w:sz w:val="20"/>
                <w:szCs w:val="20"/>
                <w:vertAlign w:val="subscript"/>
              </w:rPr>
              <w:t>3</w:t>
            </w:r>
            <w:r>
              <w:rPr>
                <w:rFonts w:ascii="Palatino Linotype" w:eastAsia="Palatino Linotype" w:hAnsi="Palatino Linotype" w:cs="Palatino Linotype"/>
                <w:color w:val="000000"/>
                <w:sz w:val="20"/>
                <w:szCs w:val="20"/>
              </w:rPr>
              <w:t>, O</w:t>
            </w:r>
            <w:r w:rsidRPr="008D267E">
              <w:rPr>
                <w:rFonts w:ascii="Palatino Linotype" w:eastAsia="Palatino Linotype" w:hAnsi="Palatino Linotype" w:cs="Palatino Linotype"/>
                <w:color w:val="000000"/>
                <w:sz w:val="20"/>
                <w:szCs w:val="20"/>
                <w:vertAlign w:val="subscript"/>
              </w:rPr>
              <w:t>3</w:t>
            </w:r>
            <w:r>
              <w:rPr>
                <w:rFonts w:ascii="Palatino Linotype" w:eastAsia="Palatino Linotype" w:hAnsi="Palatino Linotype" w:cs="Palatino Linotype"/>
                <w:color w:val="000000"/>
                <w:sz w:val="20"/>
                <w:szCs w:val="20"/>
              </w:rPr>
              <w:t>, O</w:t>
            </w:r>
            <w:r w:rsidRPr="008D267E">
              <w:rPr>
                <w:rFonts w:ascii="Palatino Linotype" w:eastAsia="Palatino Linotype" w:hAnsi="Palatino Linotype" w:cs="Palatino Linotype"/>
                <w:color w:val="000000"/>
                <w:sz w:val="20"/>
                <w:szCs w:val="20"/>
                <w:vertAlign w:val="subscript"/>
              </w:rPr>
              <w:t>4</w:t>
            </w:r>
            <w:r>
              <w:rPr>
                <w:rFonts w:ascii="Palatino Linotype" w:eastAsia="Palatino Linotype" w:hAnsi="Palatino Linotype" w:cs="Palatino Linotype"/>
                <w:color w:val="000000"/>
                <w:sz w:val="20"/>
                <w:szCs w:val="20"/>
              </w:rPr>
              <w:t>.</w:t>
            </w:r>
          </w:p>
        </w:tc>
      </w:tr>
      <w:tr w:rsidR="00D70B49" w14:paraId="293983CC" w14:textId="77777777" w:rsidTr="00FA76A2">
        <w:tc>
          <w:tcPr>
            <w:tcW w:w="2065" w:type="dxa"/>
          </w:tcPr>
          <w:p w14:paraId="1E36C026" w14:textId="77777777" w:rsidR="00D70B49" w:rsidRDefault="00D70B49" w:rsidP="00D70B49">
            <w:pPr>
              <w:rPr>
                <w:rFonts w:ascii="Palatino Linotype" w:eastAsia="Palatino Linotype" w:hAnsi="Palatino Linotype" w:cs="Palatino Linotype"/>
                <w:color w:val="000000"/>
              </w:rPr>
            </w:pPr>
          </w:p>
        </w:tc>
        <w:tc>
          <w:tcPr>
            <w:tcW w:w="2340" w:type="dxa"/>
          </w:tcPr>
          <w:p w14:paraId="35762A60" w14:textId="77777777" w:rsidR="00D70B49" w:rsidRDefault="00D70B49" w:rsidP="00D70B49">
            <w:pPr>
              <w:jc w:val="cente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tc>
        <w:tc>
          <w:tcPr>
            <w:tcW w:w="1890" w:type="dxa"/>
          </w:tcPr>
          <w:p w14:paraId="11448409" w14:textId="77777777" w:rsidR="00D70B49" w:rsidRDefault="00D70B49" w:rsidP="00D70B49">
            <w:pPr>
              <w:rPr>
                <w:rFonts w:ascii="Palatino Linotype" w:eastAsia="Palatino Linotype" w:hAnsi="Palatino Linotype" w:cs="Palatino Linotype"/>
                <w:color w:val="000000"/>
              </w:rPr>
            </w:pPr>
          </w:p>
        </w:tc>
        <w:tc>
          <w:tcPr>
            <w:tcW w:w="2721" w:type="dxa"/>
          </w:tcPr>
          <w:p w14:paraId="0C8A1AF9" w14:textId="77777777" w:rsidR="00D70B49" w:rsidRDefault="00D70B49" w:rsidP="00D70B49">
            <w:pPr>
              <w:rPr>
                <w:rFonts w:ascii="Palatino Linotype" w:eastAsia="Palatino Linotype" w:hAnsi="Palatino Linotype" w:cs="Palatino Linotype"/>
                <w:color w:val="000000"/>
              </w:rPr>
            </w:pPr>
          </w:p>
        </w:tc>
      </w:tr>
      <w:tr w:rsidR="00D70B49" w14:paraId="6384E0D4" w14:textId="77777777" w:rsidTr="00FA76A2">
        <w:tc>
          <w:tcPr>
            <w:tcW w:w="2065" w:type="dxa"/>
            <w:vMerge w:val="restart"/>
          </w:tcPr>
          <w:p w14:paraId="1E81EB93"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24 -Visible pollutants</w:t>
            </w:r>
          </w:p>
        </w:tc>
        <w:tc>
          <w:tcPr>
            <w:tcW w:w="2340" w:type="dxa"/>
          </w:tcPr>
          <w:p w14:paraId="79371E4C"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 xml:space="preserve">15.1; Annex 2: 11.1.2.2 </w:t>
            </w:r>
          </w:p>
        </w:tc>
        <w:tc>
          <w:tcPr>
            <w:tcW w:w="1890" w:type="dxa"/>
          </w:tcPr>
          <w:p w14:paraId="529236C7"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1</w:t>
            </w:r>
          </w:p>
        </w:tc>
        <w:tc>
          <w:tcPr>
            <w:tcW w:w="2721" w:type="dxa"/>
          </w:tcPr>
          <w:p w14:paraId="4E4C6328"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3.2 Compression ign</w:t>
            </w:r>
            <w:r w:rsidR="003F11B2">
              <w:rPr>
                <w:rFonts w:ascii="Palatino Linotype" w:eastAsia="Palatino Linotype" w:hAnsi="Palatino Linotype" w:cs="Palatino Linotype"/>
                <w:color w:val="000000"/>
                <w:sz w:val="20"/>
                <w:szCs w:val="20"/>
              </w:rPr>
              <w:t>i</w:t>
            </w:r>
            <w:r>
              <w:rPr>
                <w:rFonts w:ascii="Palatino Linotype" w:eastAsia="Palatino Linotype" w:hAnsi="Palatino Linotype" w:cs="Palatino Linotype"/>
                <w:color w:val="000000"/>
                <w:sz w:val="20"/>
                <w:szCs w:val="20"/>
              </w:rPr>
              <w:t>tion engine emissions</w:t>
            </w:r>
          </w:p>
        </w:tc>
      </w:tr>
      <w:tr w:rsidR="00D70B49" w14:paraId="69897FD9" w14:textId="77777777" w:rsidTr="00E740D2">
        <w:tc>
          <w:tcPr>
            <w:tcW w:w="2065" w:type="dxa"/>
            <w:vMerge/>
          </w:tcPr>
          <w:p w14:paraId="7BB2030C" w14:textId="77777777" w:rsidR="00D70B49" w:rsidRDefault="00D70B49" w:rsidP="00D70B49">
            <w:pPr>
              <w:rPr>
                <w:rFonts w:ascii="Palatino Linotype" w:eastAsia="Palatino Linotype" w:hAnsi="Palatino Linotype" w:cs="Palatino Linotype"/>
                <w:color w:val="000000"/>
              </w:rPr>
            </w:pPr>
          </w:p>
        </w:tc>
        <w:tc>
          <w:tcPr>
            <w:tcW w:w="6951" w:type="dxa"/>
            <w:gridSpan w:val="3"/>
          </w:tcPr>
          <w:p w14:paraId="772BE1FC"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Note: In item 3.2 of the Rule No.2, values were taken into account the state of the technique (whether EURO 5/V or 6/VI; whether some of an earlier EURO level, etc.)</w:t>
            </w:r>
          </w:p>
        </w:tc>
      </w:tr>
      <w:tr w:rsidR="00D70B49" w14:paraId="708ADB3E" w14:textId="77777777" w:rsidTr="00FA76A2">
        <w:tc>
          <w:tcPr>
            <w:tcW w:w="2065" w:type="dxa"/>
          </w:tcPr>
          <w:p w14:paraId="5AFA990C" w14:textId="77777777" w:rsidR="00D70B49" w:rsidRDefault="00D70B49" w:rsidP="00D70B49">
            <w:pPr>
              <w:rPr>
                <w:rFonts w:ascii="Palatino Linotype" w:eastAsia="Palatino Linotype" w:hAnsi="Palatino Linotype" w:cs="Palatino Linotype"/>
                <w:color w:val="000000"/>
              </w:rPr>
            </w:pPr>
          </w:p>
        </w:tc>
        <w:tc>
          <w:tcPr>
            <w:tcW w:w="2340" w:type="dxa"/>
          </w:tcPr>
          <w:p w14:paraId="5ACE4CCE" w14:textId="77777777" w:rsidR="00D70B49" w:rsidRDefault="00D70B49" w:rsidP="00D70B49">
            <w:pPr>
              <w:rPr>
                <w:rFonts w:ascii="Palatino Linotype" w:eastAsia="Palatino Linotype" w:hAnsi="Palatino Linotype" w:cs="Palatino Linotype"/>
                <w:color w:val="000000"/>
              </w:rPr>
            </w:pPr>
          </w:p>
        </w:tc>
        <w:tc>
          <w:tcPr>
            <w:tcW w:w="1890" w:type="dxa"/>
          </w:tcPr>
          <w:p w14:paraId="376566CF" w14:textId="77777777" w:rsidR="00D70B49" w:rsidRDefault="00D70B49" w:rsidP="00D70B49">
            <w:pPr>
              <w:rPr>
                <w:rFonts w:ascii="Palatino Linotype" w:eastAsia="Palatino Linotype" w:hAnsi="Palatino Linotype" w:cs="Palatino Linotype"/>
                <w:color w:val="000000"/>
              </w:rPr>
            </w:pPr>
          </w:p>
        </w:tc>
        <w:tc>
          <w:tcPr>
            <w:tcW w:w="2721" w:type="dxa"/>
          </w:tcPr>
          <w:p w14:paraId="4825E339" w14:textId="77777777" w:rsidR="00D70B49" w:rsidRDefault="00D70B49" w:rsidP="00D70B49">
            <w:pPr>
              <w:rPr>
                <w:rFonts w:ascii="Palatino Linotype" w:eastAsia="Palatino Linotype" w:hAnsi="Palatino Linotype" w:cs="Palatino Linotype"/>
                <w:color w:val="000000"/>
              </w:rPr>
            </w:pPr>
          </w:p>
        </w:tc>
      </w:tr>
      <w:tr w:rsidR="00D70B49" w14:paraId="3C71C6FC" w14:textId="77777777" w:rsidTr="00FA76A2">
        <w:tc>
          <w:tcPr>
            <w:tcW w:w="2065" w:type="dxa"/>
          </w:tcPr>
          <w:p w14:paraId="1A09DC0D"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 xml:space="preserve">48 - </w:t>
            </w:r>
            <w:r>
              <w:rPr>
                <w:rFonts w:ascii="Times New Roman" w:eastAsia="Times New Roman" w:hAnsi="Times New Roman" w:cs="Times New Roman"/>
                <w:b/>
                <w:bCs/>
                <w:color w:val="000000"/>
                <w:sz w:val="20"/>
                <w:szCs w:val="20"/>
              </w:rPr>
              <w:t xml:space="preserve">Installation of lighting and light-signalling devices </w:t>
            </w:r>
          </w:p>
        </w:tc>
        <w:tc>
          <w:tcPr>
            <w:tcW w:w="2340" w:type="dxa"/>
          </w:tcPr>
          <w:p w14:paraId="074BA263"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6 Individual specifications</w:t>
            </w:r>
          </w:p>
        </w:tc>
        <w:tc>
          <w:tcPr>
            <w:tcW w:w="1890" w:type="dxa"/>
          </w:tcPr>
          <w:p w14:paraId="7BA16443"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2</w:t>
            </w:r>
          </w:p>
        </w:tc>
        <w:tc>
          <w:tcPr>
            <w:tcW w:w="2721" w:type="dxa"/>
          </w:tcPr>
          <w:p w14:paraId="7990564C" w14:textId="77777777" w:rsidR="00D70B49" w:rsidRDefault="00D70B49" w:rsidP="00D70B49">
            <w:pPr>
              <w:pStyle w:val="TableContents"/>
              <w:tabs>
                <w:tab w:val="left" w:pos="0"/>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4 Lamps, reflectors and electrical equipment:</w:t>
            </w:r>
          </w:p>
          <w:p w14:paraId="314B9A78"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4.1.2; 4.1.4; 4.2.3; 4.3.3; 4.4.3; 4.5.4; 4.6.2; 4.7.2; 4.8.2; 4.9.2.</w:t>
            </w:r>
          </w:p>
        </w:tc>
      </w:tr>
      <w:tr w:rsidR="00D70B49" w14:paraId="5979F338" w14:textId="77777777" w:rsidTr="00FA76A2">
        <w:tc>
          <w:tcPr>
            <w:tcW w:w="2065" w:type="dxa"/>
          </w:tcPr>
          <w:p w14:paraId="73EB7FC5" w14:textId="77777777" w:rsidR="00D70B49" w:rsidRDefault="00D70B49" w:rsidP="00D70B49">
            <w:pPr>
              <w:rPr>
                <w:rFonts w:ascii="Palatino Linotype" w:eastAsia="Palatino Linotype" w:hAnsi="Palatino Linotype" w:cs="Palatino Linotype"/>
                <w:color w:val="000000"/>
              </w:rPr>
            </w:pPr>
          </w:p>
        </w:tc>
        <w:tc>
          <w:tcPr>
            <w:tcW w:w="2340" w:type="dxa"/>
          </w:tcPr>
          <w:p w14:paraId="2C919AAF" w14:textId="77777777" w:rsidR="00D70B49" w:rsidRDefault="00D70B49" w:rsidP="00D70B49">
            <w:pPr>
              <w:rPr>
                <w:rFonts w:ascii="Palatino Linotype" w:eastAsia="Palatino Linotype" w:hAnsi="Palatino Linotype" w:cs="Palatino Linotype"/>
                <w:color w:val="000000"/>
              </w:rPr>
            </w:pPr>
          </w:p>
        </w:tc>
        <w:tc>
          <w:tcPr>
            <w:tcW w:w="1890" w:type="dxa"/>
          </w:tcPr>
          <w:p w14:paraId="68E7F7A0" w14:textId="77777777" w:rsidR="00D70B49" w:rsidRDefault="00D70B49" w:rsidP="00D70B49">
            <w:pPr>
              <w:rPr>
                <w:rFonts w:ascii="Palatino Linotype" w:eastAsia="Palatino Linotype" w:hAnsi="Palatino Linotype" w:cs="Palatino Linotype"/>
                <w:color w:val="000000"/>
              </w:rPr>
            </w:pPr>
          </w:p>
        </w:tc>
        <w:tc>
          <w:tcPr>
            <w:tcW w:w="2721" w:type="dxa"/>
          </w:tcPr>
          <w:p w14:paraId="26139CFA" w14:textId="77777777" w:rsidR="00D70B49" w:rsidRDefault="00D70B49" w:rsidP="00D70B49">
            <w:pPr>
              <w:rPr>
                <w:rFonts w:ascii="Palatino Linotype" w:eastAsia="Palatino Linotype" w:hAnsi="Palatino Linotype" w:cs="Palatino Linotype"/>
                <w:color w:val="000000"/>
              </w:rPr>
            </w:pPr>
          </w:p>
        </w:tc>
      </w:tr>
      <w:tr w:rsidR="00D70B49" w14:paraId="4A600B53" w14:textId="77777777" w:rsidTr="00FA76A2">
        <w:tc>
          <w:tcPr>
            <w:tcW w:w="2065" w:type="dxa"/>
            <w:vMerge w:val="restart"/>
          </w:tcPr>
          <w:p w14:paraId="3674815D"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49 - Compression ignition and positive ignition engines and vehicles</w:t>
            </w:r>
          </w:p>
        </w:tc>
        <w:tc>
          <w:tcPr>
            <w:tcW w:w="2340" w:type="dxa"/>
          </w:tcPr>
          <w:p w14:paraId="2E939458"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Annex 6 Emissions data required at type approval for roadworthiness</w:t>
            </w:r>
          </w:p>
        </w:tc>
        <w:tc>
          <w:tcPr>
            <w:tcW w:w="1890" w:type="dxa"/>
          </w:tcPr>
          <w:p w14:paraId="6EAEB95A"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1</w:t>
            </w:r>
          </w:p>
        </w:tc>
        <w:tc>
          <w:tcPr>
            <w:tcW w:w="2721" w:type="dxa"/>
          </w:tcPr>
          <w:p w14:paraId="4009932D"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3.1.2 Gaseous emissions</w:t>
            </w:r>
          </w:p>
        </w:tc>
      </w:tr>
      <w:tr w:rsidR="00D70B49" w14:paraId="74457862" w14:textId="77777777" w:rsidTr="006A227C">
        <w:trPr>
          <w:trHeight w:val="550"/>
        </w:trPr>
        <w:tc>
          <w:tcPr>
            <w:tcW w:w="2065" w:type="dxa"/>
            <w:vMerge/>
            <w:tcBorders>
              <w:bottom w:val="single" w:sz="4" w:space="0" w:color="auto"/>
            </w:tcBorders>
          </w:tcPr>
          <w:p w14:paraId="619F5128" w14:textId="77777777" w:rsidR="00D70B49" w:rsidRDefault="00D70B49" w:rsidP="00D70B49">
            <w:pPr>
              <w:rPr>
                <w:rFonts w:ascii="Palatino Linotype" w:eastAsia="Palatino Linotype" w:hAnsi="Palatino Linotype" w:cs="Palatino Linotype"/>
                <w:color w:val="000000"/>
              </w:rPr>
            </w:pPr>
          </w:p>
        </w:tc>
        <w:tc>
          <w:tcPr>
            <w:tcW w:w="6951" w:type="dxa"/>
            <w:gridSpan w:val="3"/>
            <w:tcBorders>
              <w:bottom w:val="single" w:sz="4" w:space="0" w:color="auto"/>
            </w:tcBorders>
          </w:tcPr>
          <w:p w14:paraId="37F95BD9"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Note: It is a measurement of CO at idle, and is referred to UN Reg. No. 83, item 5.3.7.</w:t>
            </w:r>
          </w:p>
        </w:tc>
      </w:tr>
      <w:tr w:rsidR="00D70B49" w14:paraId="29807D11" w14:textId="77777777" w:rsidTr="00FA76A2">
        <w:tc>
          <w:tcPr>
            <w:tcW w:w="2065" w:type="dxa"/>
          </w:tcPr>
          <w:p w14:paraId="28283EAA" w14:textId="77777777" w:rsidR="00D70B49" w:rsidRDefault="00D70B49" w:rsidP="00D70B49">
            <w:pPr>
              <w:rPr>
                <w:rFonts w:ascii="Palatino Linotype" w:eastAsia="Palatino Linotype" w:hAnsi="Palatino Linotype" w:cs="Palatino Linotype"/>
                <w:color w:val="000000"/>
              </w:rPr>
            </w:pPr>
          </w:p>
        </w:tc>
        <w:tc>
          <w:tcPr>
            <w:tcW w:w="2340" w:type="dxa"/>
          </w:tcPr>
          <w:p w14:paraId="2AF8CB5D" w14:textId="77777777" w:rsidR="00D70B49" w:rsidRDefault="00D70B49" w:rsidP="00D70B49">
            <w:pPr>
              <w:rPr>
                <w:rFonts w:ascii="Palatino Linotype" w:eastAsia="Palatino Linotype" w:hAnsi="Palatino Linotype" w:cs="Palatino Linotype"/>
                <w:color w:val="000000"/>
              </w:rPr>
            </w:pPr>
          </w:p>
        </w:tc>
        <w:tc>
          <w:tcPr>
            <w:tcW w:w="1890" w:type="dxa"/>
          </w:tcPr>
          <w:p w14:paraId="259E6CD4" w14:textId="77777777" w:rsidR="00D70B49" w:rsidRDefault="00D70B49" w:rsidP="00D70B49">
            <w:pPr>
              <w:rPr>
                <w:rFonts w:ascii="Palatino Linotype" w:eastAsia="Palatino Linotype" w:hAnsi="Palatino Linotype" w:cs="Palatino Linotype"/>
                <w:color w:val="000000"/>
              </w:rPr>
            </w:pPr>
          </w:p>
        </w:tc>
        <w:tc>
          <w:tcPr>
            <w:tcW w:w="2721" w:type="dxa"/>
          </w:tcPr>
          <w:p w14:paraId="49C1C3C7" w14:textId="77777777" w:rsidR="00D70B49" w:rsidRDefault="00D70B49" w:rsidP="00D70B49">
            <w:pPr>
              <w:rPr>
                <w:rFonts w:ascii="Palatino Linotype" w:eastAsia="Palatino Linotype" w:hAnsi="Palatino Linotype" w:cs="Palatino Linotype"/>
                <w:color w:val="000000"/>
              </w:rPr>
            </w:pPr>
          </w:p>
        </w:tc>
      </w:tr>
      <w:tr w:rsidR="00D70B49" w14:paraId="04632810" w14:textId="77777777" w:rsidTr="00FA76A2">
        <w:tc>
          <w:tcPr>
            <w:tcW w:w="2065" w:type="dxa"/>
          </w:tcPr>
          <w:p w14:paraId="414AAB80"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79 - Steering equipment</w:t>
            </w:r>
          </w:p>
        </w:tc>
        <w:tc>
          <w:tcPr>
            <w:tcW w:w="2340" w:type="dxa"/>
          </w:tcPr>
          <w:p w14:paraId="68A21B6C"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5.5 Provisions for the periodical technical inspection of steering equipment</w:t>
            </w:r>
          </w:p>
        </w:tc>
        <w:tc>
          <w:tcPr>
            <w:tcW w:w="1890" w:type="dxa"/>
          </w:tcPr>
          <w:p w14:paraId="2E02FAD7"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2</w:t>
            </w:r>
          </w:p>
        </w:tc>
        <w:tc>
          <w:tcPr>
            <w:tcW w:w="2721" w:type="dxa"/>
          </w:tcPr>
          <w:p w14:paraId="435DE691"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2 Steering</w:t>
            </w:r>
          </w:p>
        </w:tc>
      </w:tr>
      <w:tr w:rsidR="00D70B49" w14:paraId="10099A54" w14:textId="77777777" w:rsidTr="00FA76A2">
        <w:tc>
          <w:tcPr>
            <w:tcW w:w="2065" w:type="dxa"/>
          </w:tcPr>
          <w:p w14:paraId="6B04AA0D" w14:textId="77777777" w:rsidR="00D70B49" w:rsidRDefault="00D70B49" w:rsidP="00D70B49">
            <w:pPr>
              <w:rPr>
                <w:rFonts w:ascii="Palatino Linotype" w:eastAsia="Palatino Linotype" w:hAnsi="Palatino Linotype" w:cs="Palatino Linotype"/>
                <w:color w:val="000000"/>
              </w:rPr>
            </w:pPr>
          </w:p>
        </w:tc>
        <w:tc>
          <w:tcPr>
            <w:tcW w:w="2340" w:type="dxa"/>
          </w:tcPr>
          <w:p w14:paraId="2CFCB66D" w14:textId="77777777" w:rsidR="00D70B49" w:rsidRDefault="00D70B49" w:rsidP="00D70B49">
            <w:pPr>
              <w:rPr>
                <w:rFonts w:ascii="Palatino Linotype" w:eastAsia="Palatino Linotype" w:hAnsi="Palatino Linotype" w:cs="Palatino Linotype"/>
                <w:color w:val="000000"/>
              </w:rPr>
            </w:pPr>
          </w:p>
        </w:tc>
        <w:tc>
          <w:tcPr>
            <w:tcW w:w="1890" w:type="dxa"/>
          </w:tcPr>
          <w:p w14:paraId="75EF3741" w14:textId="77777777" w:rsidR="00D70B49" w:rsidRDefault="00D70B49" w:rsidP="00D70B49">
            <w:pPr>
              <w:rPr>
                <w:rFonts w:ascii="Palatino Linotype" w:eastAsia="Palatino Linotype" w:hAnsi="Palatino Linotype" w:cs="Palatino Linotype"/>
                <w:color w:val="000000"/>
              </w:rPr>
            </w:pPr>
          </w:p>
        </w:tc>
        <w:tc>
          <w:tcPr>
            <w:tcW w:w="2721" w:type="dxa"/>
          </w:tcPr>
          <w:p w14:paraId="7527B9A3" w14:textId="77777777" w:rsidR="00D70B49" w:rsidRDefault="00D70B49" w:rsidP="00D70B49">
            <w:pPr>
              <w:rPr>
                <w:rFonts w:ascii="Palatino Linotype" w:eastAsia="Palatino Linotype" w:hAnsi="Palatino Linotype" w:cs="Palatino Linotype"/>
                <w:color w:val="000000"/>
              </w:rPr>
            </w:pPr>
          </w:p>
        </w:tc>
      </w:tr>
      <w:tr w:rsidR="00D70B49" w14:paraId="54C48389" w14:textId="77777777" w:rsidTr="00FA76A2">
        <w:tc>
          <w:tcPr>
            <w:tcW w:w="2065" w:type="dxa"/>
          </w:tcPr>
          <w:p w14:paraId="5B724295"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 xml:space="preserve">130 - Lane Departure Warning System (LDWS) </w:t>
            </w:r>
          </w:p>
        </w:tc>
        <w:tc>
          <w:tcPr>
            <w:tcW w:w="2340" w:type="dxa"/>
          </w:tcPr>
          <w:p w14:paraId="49714590"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 xml:space="preserve">5.5 Provisions for the periodical technical inspection </w:t>
            </w:r>
          </w:p>
        </w:tc>
        <w:tc>
          <w:tcPr>
            <w:tcW w:w="1890" w:type="dxa"/>
          </w:tcPr>
          <w:p w14:paraId="198693AF"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2</w:t>
            </w:r>
          </w:p>
        </w:tc>
        <w:tc>
          <w:tcPr>
            <w:tcW w:w="2721" w:type="dxa"/>
          </w:tcPr>
          <w:p w14:paraId="5ADC6967"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There is no corresponding item.</w:t>
            </w:r>
          </w:p>
        </w:tc>
      </w:tr>
      <w:tr w:rsidR="00D70B49" w14:paraId="1C7CB98A" w14:textId="77777777" w:rsidTr="00FA76A2">
        <w:tc>
          <w:tcPr>
            <w:tcW w:w="2065" w:type="dxa"/>
          </w:tcPr>
          <w:p w14:paraId="11F706EC" w14:textId="77777777" w:rsidR="00D70B49" w:rsidRDefault="00D70B49" w:rsidP="00D70B49">
            <w:pPr>
              <w:rPr>
                <w:rFonts w:ascii="Palatino Linotype" w:eastAsia="Palatino Linotype" w:hAnsi="Palatino Linotype" w:cs="Palatino Linotype"/>
                <w:color w:val="000000"/>
              </w:rPr>
            </w:pPr>
          </w:p>
        </w:tc>
        <w:tc>
          <w:tcPr>
            <w:tcW w:w="2340" w:type="dxa"/>
          </w:tcPr>
          <w:p w14:paraId="4CD151A4" w14:textId="77777777" w:rsidR="00D70B49" w:rsidRDefault="00D70B49" w:rsidP="00D70B49">
            <w:pPr>
              <w:rPr>
                <w:rFonts w:ascii="Palatino Linotype" w:eastAsia="Palatino Linotype" w:hAnsi="Palatino Linotype" w:cs="Palatino Linotype"/>
                <w:color w:val="000000"/>
              </w:rPr>
            </w:pPr>
          </w:p>
        </w:tc>
        <w:tc>
          <w:tcPr>
            <w:tcW w:w="1890" w:type="dxa"/>
          </w:tcPr>
          <w:p w14:paraId="1535EC7A" w14:textId="77777777" w:rsidR="00D70B49" w:rsidRDefault="00D70B49" w:rsidP="00D70B49">
            <w:pPr>
              <w:rPr>
                <w:rFonts w:ascii="Palatino Linotype" w:eastAsia="Palatino Linotype" w:hAnsi="Palatino Linotype" w:cs="Palatino Linotype"/>
                <w:color w:val="000000"/>
              </w:rPr>
            </w:pPr>
          </w:p>
        </w:tc>
        <w:tc>
          <w:tcPr>
            <w:tcW w:w="2721" w:type="dxa"/>
          </w:tcPr>
          <w:p w14:paraId="50BDCD60" w14:textId="77777777" w:rsidR="00D70B49" w:rsidRDefault="00D70B49" w:rsidP="00D70B49">
            <w:pPr>
              <w:rPr>
                <w:rFonts w:ascii="Palatino Linotype" w:eastAsia="Palatino Linotype" w:hAnsi="Palatino Linotype" w:cs="Palatino Linotype"/>
                <w:color w:val="000000"/>
              </w:rPr>
            </w:pPr>
          </w:p>
        </w:tc>
      </w:tr>
      <w:tr w:rsidR="00D70B49" w14:paraId="08DABEFF" w14:textId="77777777" w:rsidTr="00FA76A2">
        <w:tc>
          <w:tcPr>
            <w:tcW w:w="2065" w:type="dxa"/>
          </w:tcPr>
          <w:p w14:paraId="77E6988E"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131 - Advanced Emergency Braking Systems (AEBS)</w:t>
            </w:r>
          </w:p>
        </w:tc>
        <w:tc>
          <w:tcPr>
            <w:tcW w:w="2340" w:type="dxa"/>
          </w:tcPr>
          <w:p w14:paraId="64776CFB" w14:textId="77777777" w:rsidR="00D70B49" w:rsidRDefault="00D70B49" w:rsidP="00D70B49">
            <w:pPr>
              <w:pStyle w:val="TableContents"/>
              <w:tabs>
                <w:tab w:val="left" w:pos="0"/>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5.6 Provisions for the periodical technical inspection;</w:t>
            </w:r>
          </w:p>
          <w:p w14:paraId="549CBA84"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Annex 4: 3.1; 3.4.4.1.</w:t>
            </w:r>
          </w:p>
        </w:tc>
        <w:tc>
          <w:tcPr>
            <w:tcW w:w="1890" w:type="dxa"/>
          </w:tcPr>
          <w:p w14:paraId="1BAC31EC"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2</w:t>
            </w:r>
          </w:p>
        </w:tc>
        <w:tc>
          <w:tcPr>
            <w:tcW w:w="2721" w:type="dxa"/>
          </w:tcPr>
          <w:p w14:paraId="3803E7A7"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There is no corresponding item.</w:t>
            </w:r>
          </w:p>
        </w:tc>
      </w:tr>
      <w:tr w:rsidR="00D70B49" w14:paraId="57042EFB" w14:textId="77777777" w:rsidTr="00FA76A2">
        <w:tc>
          <w:tcPr>
            <w:tcW w:w="2065" w:type="dxa"/>
          </w:tcPr>
          <w:p w14:paraId="4ADE017F" w14:textId="77777777" w:rsidR="00D70B49" w:rsidRDefault="00D70B49" w:rsidP="00D70B49">
            <w:pPr>
              <w:rPr>
                <w:rFonts w:ascii="Palatino Linotype" w:eastAsia="Palatino Linotype" w:hAnsi="Palatino Linotype" w:cs="Palatino Linotype"/>
                <w:color w:val="000000"/>
              </w:rPr>
            </w:pPr>
          </w:p>
        </w:tc>
        <w:tc>
          <w:tcPr>
            <w:tcW w:w="2340" w:type="dxa"/>
          </w:tcPr>
          <w:p w14:paraId="41EC3C34" w14:textId="77777777" w:rsidR="00D70B49" w:rsidRDefault="00D70B49" w:rsidP="00D70B49">
            <w:pPr>
              <w:rPr>
                <w:rFonts w:ascii="Palatino Linotype" w:eastAsia="Palatino Linotype" w:hAnsi="Palatino Linotype" w:cs="Palatino Linotype"/>
                <w:color w:val="000000"/>
              </w:rPr>
            </w:pPr>
          </w:p>
        </w:tc>
        <w:tc>
          <w:tcPr>
            <w:tcW w:w="1890" w:type="dxa"/>
          </w:tcPr>
          <w:p w14:paraId="1ECE7348" w14:textId="77777777" w:rsidR="00D70B49" w:rsidRDefault="00D70B49" w:rsidP="00D70B49">
            <w:pPr>
              <w:rPr>
                <w:rFonts w:ascii="Palatino Linotype" w:eastAsia="Palatino Linotype" w:hAnsi="Palatino Linotype" w:cs="Palatino Linotype"/>
                <w:color w:val="000000"/>
              </w:rPr>
            </w:pPr>
          </w:p>
        </w:tc>
        <w:tc>
          <w:tcPr>
            <w:tcW w:w="2721" w:type="dxa"/>
          </w:tcPr>
          <w:p w14:paraId="71294335" w14:textId="77777777" w:rsidR="00D70B49" w:rsidRDefault="00D70B49" w:rsidP="00D70B49">
            <w:pPr>
              <w:rPr>
                <w:rFonts w:ascii="Palatino Linotype" w:eastAsia="Palatino Linotype" w:hAnsi="Palatino Linotype" w:cs="Palatino Linotype"/>
                <w:color w:val="000000"/>
              </w:rPr>
            </w:pPr>
          </w:p>
        </w:tc>
      </w:tr>
      <w:tr w:rsidR="00D70B49" w14:paraId="64DEF080" w14:textId="77777777" w:rsidTr="00FA76A2">
        <w:tc>
          <w:tcPr>
            <w:tcW w:w="2065" w:type="dxa"/>
          </w:tcPr>
          <w:p w14:paraId="568B2E38"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lastRenderedPageBreak/>
              <w:t>139 - Brake Assist Systems (BAS)</w:t>
            </w:r>
          </w:p>
        </w:tc>
        <w:tc>
          <w:tcPr>
            <w:tcW w:w="2340" w:type="dxa"/>
          </w:tcPr>
          <w:p w14:paraId="34790EC9"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5.6 Provision for the periodical technical inspection of electronic brake assist systems</w:t>
            </w:r>
          </w:p>
        </w:tc>
        <w:tc>
          <w:tcPr>
            <w:tcW w:w="1890" w:type="dxa"/>
          </w:tcPr>
          <w:p w14:paraId="2338F2D6"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2</w:t>
            </w:r>
          </w:p>
        </w:tc>
        <w:tc>
          <w:tcPr>
            <w:tcW w:w="2721" w:type="dxa"/>
          </w:tcPr>
          <w:p w14:paraId="5AC8CFF6"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There are no corresponding items.</w:t>
            </w:r>
          </w:p>
        </w:tc>
      </w:tr>
      <w:tr w:rsidR="00D70B49" w14:paraId="5A4DA836" w14:textId="77777777" w:rsidTr="00FA76A2">
        <w:tc>
          <w:tcPr>
            <w:tcW w:w="2065" w:type="dxa"/>
          </w:tcPr>
          <w:p w14:paraId="57BD3A10" w14:textId="77777777" w:rsidR="00D70B49" w:rsidRDefault="00D70B49" w:rsidP="00D70B49">
            <w:pPr>
              <w:rPr>
                <w:rFonts w:ascii="Palatino Linotype" w:eastAsia="Palatino Linotype" w:hAnsi="Palatino Linotype" w:cs="Palatino Linotype"/>
                <w:color w:val="000000"/>
              </w:rPr>
            </w:pPr>
          </w:p>
        </w:tc>
        <w:tc>
          <w:tcPr>
            <w:tcW w:w="2340" w:type="dxa"/>
          </w:tcPr>
          <w:p w14:paraId="1169504E" w14:textId="77777777" w:rsidR="00D70B49" w:rsidRDefault="00D70B49" w:rsidP="00D70B49">
            <w:pPr>
              <w:rPr>
                <w:rFonts w:ascii="Palatino Linotype" w:eastAsia="Palatino Linotype" w:hAnsi="Palatino Linotype" w:cs="Palatino Linotype"/>
                <w:color w:val="000000"/>
              </w:rPr>
            </w:pPr>
          </w:p>
        </w:tc>
        <w:tc>
          <w:tcPr>
            <w:tcW w:w="1890" w:type="dxa"/>
          </w:tcPr>
          <w:p w14:paraId="103A87AC" w14:textId="77777777" w:rsidR="00D70B49" w:rsidRDefault="00D70B49" w:rsidP="00D70B49">
            <w:pPr>
              <w:rPr>
                <w:rFonts w:ascii="Palatino Linotype" w:eastAsia="Palatino Linotype" w:hAnsi="Palatino Linotype" w:cs="Palatino Linotype"/>
                <w:color w:val="000000"/>
              </w:rPr>
            </w:pPr>
          </w:p>
        </w:tc>
        <w:tc>
          <w:tcPr>
            <w:tcW w:w="2721" w:type="dxa"/>
          </w:tcPr>
          <w:p w14:paraId="307381F7" w14:textId="77777777" w:rsidR="00D70B49" w:rsidRDefault="00D70B49" w:rsidP="00D70B49">
            <w:pPr>
              <w:rPr>
                <w:rFonts w:ascii="Palatino Linotype" w:eastAsia="Palatino Linotype" w:hAnsi="Palatino Linotype" w:cs="Palatino Linotype"/>
                <w:color w:val="000000"/>
              </w:rPr>
            </w:pPr>
          </w:p>
        </w:tc>
      </w:tr>
      <w:tr w:rsidR="00D70B49" w14:paraId="23B2DE18" w14:textId="77777777" w:rsidTr="00FA76A2">
        <w:tc>
          <w:tcPr>
            <w:tcW w:w="2065" w:type="dxa"/>
          </w:tcPr>
          <w:p w14:paraId="703B0465"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140 - Electronic Stability Control (ESC) Systems</w:t>
            </w:r>
          </w:p>
        </w:tc>
        <w:tc>
          <w:tcPr>
            <w:tcW w:w="2340" w:type="dxa"/>
          </w:tcPr>
          <w:p w14:paraId="23247C4C"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 xml:space="preserve">5.6 Provisions for the periodical technical inspection of ESC systems </w:t>
            </w:r>
          </w:p>
        </w:tc>
        <w:tc>
          <w:tcPr>
            <w:tcW w:w="1890" w:type="dxa"/>
          </w:tcPr>
          <w:p w14:paraId="49C12EC6"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b/>
                <w:bCs/>
                <w:color w:val="000000"/>
                <w:sz w:val="20"/>
                <w:szCs w:val="20"/>
              </w:rPr>
              <w:t>2</w:t>
            </w:r>
          </w:p>
        </w:tc>
        <w:tc>
          <w:tcPr>
            <w:tcW w:w="2721" w:type="dxa"/>
          </w:tcPr>
          <w:p w14:paraId="132C407E" w14:textId="77777777" w:rsidR="00D70B49" w:rsidRDefault="00D70B49" w:rsidP="00D70B49">
            <w:pPr>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7 .12 Electronic Stability Control (ESC) if fitted/required</w:t>
            </w:r>
          </w:p>
        </w:tc>
      </w:tr>
      <w:tr w:rsidR="00D70B49" w14:paraId="4F293837" w14:textId="77777777" w:rsidTr="00FA76A2">
        <w:tc>
          <w:tcPr>
            <w:tcW w:w="2065" w:type="dxa"/>
          </w:tcPr>
          <w:p w14:paraId="1FFEFAAA" w14:textId="77777777" w:rsidR="00D70B49" w:rsidRDefault="00D70B49" w:rsidP="00D70B49">
            <w:pPr>
              <w:rPr>
                <w:rFonts w:ascii="Palatino Linotype" w:eastAsia="Palatino Linotype" w:hAnsi="Palatino Linotype" w:cs="Palatino Linotype"/>
                <w:color w:val="000000"/>
              </w:rPr>
            </w:pPr>
          </w:p>
        </w:tc>
        <w:tc>
          <w:tcPr>
            <w:tcW w:w="2340" w:type="dxa"/>
          </w:tcPr>
          <w:p w14:paraId="13E30B3A" w14:textId="77777777" w:rsidR="00D70B49" w:rsidRDefault="00D70B49" w:rsidP="00D70B49">
            <w:pPr>
              <w:rPr>
                <w:rFonts w:ascii="Palatino Linotype" w:eastAsia="Palatino Linotype" w:hAnsi="Palatino Linotype" w:cs="Palatino Linotype"/>
                <w:color w:val="000000"/>
              </w:rPr>
            </w:pPr>
          </w:p>
        </w:tc>
        <w:tc>
          <w:tcPr>
            <w:tcW w:w="1890" w:type="dxa"/>
          </w:tcPr>
          <w:p w14:paraId="08325DC8" w14:textId="77777777" w:rsidR="00D70B49" w:rsidRDefault="00D70B49" w:rsidP="00D70B49">
            <w:pPr>
              <w:rPr>
                <w:rFonts w:ascii="Palatino Linotype" w:eastAsia="Palatino Linotype" w:hAnsi="Palatino Linotype" w:cs="Palatino Linotype"/>
                <w:color w:val="000000"/>
              </w:rPr>
            </w:pPr>
          </w:p>
        </w:tc>
        <w:tc>
          <w:tcPr>
            <w:tcW w:w="2721" w:type="dxa"/>
          </w:tcPr>
          <w:p w14:paraId="0F446D7E" w14:textId="77777777" w:rsidR="00D70B49" w:rsidRDefault="00D70B49" w:rsidP="00D70B49">
            <w:pPr>
              <w:rPr>
                <w:rFonts w:ascii="Palatino Linotype" w:eastAsia="Palatino Linotype" w:hAnsi="Palatino Linotype" w:cs="Palatino Linotype"/>
                <w:color w:val="000000"/>
              </w:rPr>
            </w:pPr>
          </w:p>
        </w:tc>
      </w:tr>
    </w:tbl>
    <w:p w14:paraId="7B5E6DB8" w14:textId="77777777" w:rsidR="00D70B49" w:rsidRPr="00D70B49" w:rsidRDefault="00D70B49" w:rsidP="00D70B49">
      <w:pPr>
        <w:rPr>
          <w:rFonts w:ascii="Palatino Linotype" w:eastAsia="Palatino Linotype" w:hAnsi="Palatino Linotype" w:cs="Palatino Linotype"/>
          <w:color w:val="000000"/>
        </w:rPr>
      </w:pPr>
    </w:p>
    <w:p w14:paraId="70A42094" w14:textId="77777777" w:rsidR="00D70B49" w:rsidRDefault="00D70B49" w:rsidP="00D70B49">
      <w:pPr>
        <w:rPr>
          <w:rFonts w:hint="eastAsia"/>
        </w:rPr>
      </w:pPr>
      <w:r>
        <w:rPr>
          <w:rFonts w:ascii="Palatino Linotype" w:eastAsia="Palatino Linotype" w:hAnsi="Palatino Linotype" w:cs="Palatino Linotype"/>
          <w:b/>
          <w:bCs/>
          <w:color w:val="000000"/>
        </w:rPr>
        <w:t xml:space="preserve"> </w:t>
      </w:r>
    </w:p>
    <w:p w14:paraId="6382CDF7" w14:textId="77777777" w:rsidR="00FA76A2" w:rsidRDefault="00FA76A2" w:rsidP="00FA76A2">
      <w:pPr>
        <w:tabs>
          <w:tab w:val="left" w:pos="-1440"/>
          <w:tab w:val="left" w:pos="-720"/>
          <w:tab w:val="left" w:pos="0"/>
          <w:tab w:val="left" w:pos="391"/>
          <w:tab w:val="left" w:pos="720"/>
          <w:tab w:val="left" w:pos="1440"/>
          <w:tab w:val="left" w:pos="2160"/>
          <w:tab w:val="left" w:pos="2880"/>
          <w:tab w:val="left" w:pos="3600"/>
          <w:tab w:val="left" w:pos="4320"/>
          <w:tab w:val="left" w:pos="5040"/>
          <w:tab w:val="left" w:pos="5760"/>
          <w:tab w:val="left" w:pos="6480"/>
          <w:tab w:val="left" w:pos="7200"/>
          <w:tab w:val="left" w:pos="7284"/>
        </w:tabs>
        <w:rPr>
          <w:rFonts w:ascii="Palatino Linotype" w:hAnsi="Palatino Linotype"/>
        </w:rPr>
      </w:pPr>
      <w:r>
        <w:rPr>
          <w:rFonts w:ascii="Palatino Linotype" w:hAnsi="Palatino Linotype"/>
        </w:rPr>
        <w:t>Summary</w:t>
      </w:r>
    </w:p>
    <w:p w14:paraId="2C2474D8" w14:textId="77777777" w:rsidR="00FA76A2" w:rsidRDefault="00FA76A2" w:rsidP="00FA76A2">
      <w:pPr>
        <w:tabs>
          <w:tab w:val="left" w:pos="-1440"/>
          <w:tab w:val="left" w:pos="-720"/>
          <w:tab w:val="left" w:pos="0"/>
          <w:tab w:val="left" w:pos="391"/>
          <w:tab w:val="left" w:pos="720"/>
          <w:tab w:val="left" w:pos="1440"/>
          <w:tab w:val="left" w:pos="2160"/>
          <w:tab w:val="left" w:pos="2880"/>
          <w:tab w:val="left" w:pos="3600"/>
          <w:tab w:val="left" w:pos="4320"/>
          <w:tab w:val="left" w:pos="5040"/>
          <w:tab w:val="left" w:pos="5760"/>
          <w:tab w:val="left" w:pos="6480"/>
          <w:tab w:val="left" w:pos="7200"/>
          <w:tab w:val="left" w:pos="7284"/>
        </w:tabs>
        <w:rPr>
          <w:rFonts w:ascii="Palatino Linotype" w:hAnsi="Palatino Linotype"/>
        </w:rPr>
      </w:pPr>
    </w:p>
    <w:p w14:paraId="10523AC7" w14:textId="0063248A" w:rsidR="00FA76A2" w:rsidRDefault="00FA76A2" w:rsidP="007B4905">
      <w:pPr>
        <w:tabs>
          <w:tab w:val="left" w:pos="-1440"/>
          <w:tab w:val="left" w:pos="-720"/>
          <w:tab w:val="left" w:pos="0"/>
          <w:tab w:val="left" w:pos="391"/>
          <w:tab w:val="left" w:pos="720"/>
          <w:tab w:val="left" w:pos="1440"/>
          <w:tab w:val="left" w:pos="2160"/>
          <w:tab w:val="left" w:pos="2880"/>
          <w:tab w:val="left" w:pos="3600"/>
          <w:tab w:val="left" w:pos="4320"/>
          <w:tab w:val="left" w:pos="5040"/>
          <w:tab w:val="left" w:pos="5760"/>
          <w:tab w:val="left" w:pos="6480"/>
          <w:tab w:val="left" w:pos="7200"/>
          <w:tab w:val="left" w:pos="7284"/>
        </w:tabs>
        <w:jc w:val="both"/>
        <w:rPr>
          <w:rFonts w:ascii="Palatino Linotype" w:hAnsi="Palatino Linotype"/>
        </w:rPr>
      </w:pPr>
      <w:r>
        <w:rPr>
          <w:rFonts w:ascii="Palatino Linotype" w:hAnsi="Palatino Linotype"/>
        </w:rPr>
        <w:t>Some UN Rules take on values and methodologies from UN Regulations, and in some do not (take "requirements" from national regulations in the country of registration) according to the definition: "Requirements" are laid down by type-approval at the date of approval, first registration or first entry into the service as well as by retrofitting obligations or by national legislation in the country of registration. This definition is also found in UN Rule No. 1 and in UN Rule No.</w:t>
      </w:r>
      <w:r w:rsidR="007B4905">
        <w:rPr>
          <w:rFonts w:ascii="Palatino Linotype" w:hAnsi="Palatino Linotype"/>
        </w:rPr>
        <w:t xml:space="preserve"> </w:t>
      </w:r>
      <w:r>
        <w:rPr>
          <w:rFonts w:ascii="Palatino Linotype" w:hAnsi="Palatino Linotype"/>
        </w:rPr>
        <w:t>2.</w:t>
      </w:r>
    </w:p>
    <w:p w14:paraId="3DA5A435" w14:textId="77777777" w:rsidR="00FA76A2" w:rsidRDefault="00FA76A2" w:rsidP="007B4905">
      <w:pPr>
        <w:tabs>
          <w:tab w:val="left" w:pos="-1440"/>
          <w:tab w:val="left" w:pos="-720"/>
          <w:tab w:val="left" w:pos="0"/>
          <w:tab w:val="left" w:pos="391"/>
          <w:tab w:val="left" w:pos="720"/>
          <w:tab w:val="left" w:pos="1440"/>
          <w:tab w:val="left" w:pos="2160"/>
          <w:tab w:val="left" w:pos="2880"/>
          <w:tab w:val="left" w:pos="3600"/>
          <w:tab w:val="left" w:pos="4320"/>
          <w:tab w:val="left" w:pos="5040"/>
          <w:tab w:val="left" w:pos="5760"/>
          <w:tab w:val="left" w:pos="6480"/>
          <w:tab w:val="left" w:pos="7200"/>
          <w:tab w:val="left" w:pos="7284"/>
        </w:tabs>
        <w:jc w:val="both"/>
        <w:rPr>
          <w:rFonts w:ascii="Palatino Linotype" w:hAnsi="Palatino Linotype"/>
        </w:rPr>
      </w:pPr>
    </w:p>
    <w:p w14:paraId="16995CC6" w14:textId="77777777" w:rsidR="00FA76A2" w:rsidRDefault="00FA76A2" w:rsidP="007B4905">
      <w:pPr>
        <w:tabs>
          <w:tab w:val="left" w:pos="-1440"/>
          <w:tab w:val="left" w:pos="-720"/>
          <w:tab w:val="left" w:pos="0"/>
          <w:tab w:val="left" w:pos="391"/>
          <w:tab w:val="left" w:pos="720"/>
          <w:tab w:val="left" w:pos="1440"/>
          <w:tab w:val="left" w:pos="2160"/>
          <w:tab w:val="left" w:pos="2880"/>
          <w:tab w:val="left" w:pos="3600"/>
          <w:tab w:val="left" w:pos="4320"/>
          <w:tab w:val="left" w:pos="5040"/>
          <w:tab w:val="left" w:pos="5760"/>
          <w:tab w:val="left" w:pos="6480"/>
          <w:tab w:val="left" w:pos="7200"/>
          <w:tab w:val="left" w:pos="7284"/>
        </w:tabs>
        <w:jc w:val="both"/>
        <w:rPr>
          <w:rFonts w:ascii="Palatino Linotype" w:hAnsi="Palatino Linotype"/>
        </w:rPr>
      </w:pPr>
      <w:r>
        <w:rPr>
          <w:rFonts w:ascii="Palatino Linotype" w:hAnsi="Palatino Linotype"/>
        </w:rPr>
        <w:t>The effectiveness of the implementation of PTI activities can also be measured by the degree of uniformity of the values being controlled. In this context, the possibility of increasing the degree of equivalence of the values being controlled, the testing methodology, etc. in relations between UN Regulations and UN Rules</w:t>
      </w:r>
      <w:r w:rsidR="0035070A">
        <w:rPr>
          <w:rFonts w:ascii="Palatino Linotype" w:hAnsi="Palatino Linotype"/>
        </w:rPr>
        <w:t>,</w:t>
      </w:r>
      <w:r w:rsidR="0035070A" w:rsidRPr="0035070A">
        <w:rPr>
          <w:rFonts w:ascii="Palatino Linotype" w:hAnsi="Palatino Linotype"/>
        </w:rPr>
        <w:t xml:space="preserve"> </w:t>
      </w:r>
      <w:r w:rsidR="0035070A">
        <w:rPr>
          <w:rFonts w:ascii="Palatino Linotype" w:hAnsi="Palatino Linotype"/>
        </w:rPr>
        <w:t>should be considered, where feasible</w:t>
      </w:r>
      <w:r>
        <w:rPr>
          <w:rFonts w:ascii="Palatino Linotype" w:hAnsi="Palatino Linotype"/>
        </w:rPr>
        <w:t>.</w:t>
      </w:r>
    </w:p>
    <w:p w14:paraId="1488D167" w14:textId="77777777" w:rsidR="00D70B49" w:rsidRDefault="00D70B49">
      <w:pPr>
        <w:rPr>
          <w:rFonts w:hint="eastAsia"/>
        </w:rPr>
      </w:pPr>
    </w:p>
    <w:sectPr w:rsidR="00D70B49" w:rsidSect="001D40C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0E41E" w14:textId="77777777" w:rsidR="00114578" w:rsidRDefault="00114578" w:rsidP="007B4905">
      <w:pPr>
        <w:rPr>
          <w:rFonts w:hint="eastAsia"/>
        </w:rPr>
      </w:pPr>
      <w:r>
        <w:separator/>
      </w:r>
    </w:p>
  </w:endnote>
  <w:endnote w:type="continuationSeparator" w:id="0">
    <w:p w14:paraId="2FD67424" w14:textId="77777777" w:rsidR="00114578" w:rsidRDefault="00114578" w:rsidP="007B490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FAD0" w14:textId="77777777" w:rsidR="00820008" w:rsidRDefault="00820008">
    <w:pPr>
      <w:pStyle w:val="Peu"/>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1496" w14:textId="77777777" w:rsidR="00820008" w:rsidRDefault="00820008">
    <w:pPr>
      <w:pStyle w:val="Peu"/>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145F" w14:textId="77777777" w:rsidR="00820008" w:rsidRDefault="00820008">
    <w:pPr>
      <w:pStyle w:val="Peu"/>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72E6" w14:textId="77777777" w:rsidR="00114578" w:rsidRDefault="00114578" w:rsidP="007B4905">
      <w:pPr>
        <w:rPr>
          <w:rFonts w:hint="eastAsia"/>
        </w:rPr>
      </w:pPr>
      <w:r>
        <w:separator/>
      </w:r>
    </w:p>
  </w:footnote>
  <w:footnote w:type="continuationSeparator" w:id="0">
    <w:p w14:paraId="07236A26" w14:textId="77777777" w:rsidR="00114578" w:rsidRDefault="00114578" w:rsidP="007B490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3196" w14:textId="77777777" w:rsidR="00820008" w:rsidRDefault="00820008">
    <w:pPr>
      <w:pStyle w:val="Capaler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E9D1" w14:textId="77777777" w:rsidR="00820008" w:rsidRDefault="00820008">
    <w:pPr>
      <w:pStyle w:val="Capaler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B927" w14:textId="7A853948" w:rsidR="001D40C1" w:rsidRDefault="001D40C1" w:rsidP="001D40C1">
    <w:pPr>
      <w:pStyle w:val="Capalera"/>
      <w:jc w:val="center"/>
      <w:rPr>
        <w:rFonts w:ascii="Times New Roman" w:eastAsia="Calibri" w:hAnsi="Times New Roman" w:cs="Times New Roman"/>
        <w:b/>
        <w:kern w:val="0"/>
        <w:sz w:val="22"/>
        <w:szCs w:val="22"/>
        <w:lang w:val="en-GB" w:eastAsia="en-US" w:bidi="ar-SA"/>
      </w:rPr>
    </w:pPr>
    <w:r>
      <w:rPr>
        <w:rFonts w:ascii="Times New Roman" w:hAnsi="Times New Roman"/>
      </w:rPr>
      <w:t>Submitted by the representative of the Serbia</w:t>
    </w:r>
    <w:r>
      <w:rPr>
        <w:rFonts w:ascii="Times New Roman" w:hAnsi="Times New Roman"/>
      </w:rPr>
      <w:tab/>
    </w:r>
    <w:r>
      <w:rPr>
        <w:rFonts w:ascii="Times New Roman" w:hAnsi="Times New Roman"/>
      </w:rPr>
      <w:tab/>
    </w:r>
    <w:r>
      <w:rPr>
        <w:rFonts w:ascii="Times New Roman" w:hAnsi="Times New Roman"/>
        <w:u w:val="single"/>
        <w:lang w:val="en-GB"/>
      </w:rPr>
      <w:t>Working Paper</w:t>
    </w:r>
    <w:r>
      <w:rPr>
        <w:rFonts w:ascii="Times New Roman" w:hAnsi="Times New Roman"/>
        <w:lang w:val="en-GB"/>
      </w:rPr>
      <w:t xml:space="preserve"> </w:t>
    </w:r>
    <w:r>
      <w:rPr>
        <w:rFonts w:ascii="Times New Roman" w:hAnsi="Times New Roman"/>
        <w:b/>
        <w:lang w:val="en-GB"/>
      </w:rPr>
      <w:t>PTI-16-</w:t>
    </w:r>
    <w:r w:rsidR="00820008">
      <w:rPr>
        <w:rFonts w:ascii="Times New Roman" w:hAnsi="Times New Roman"/>
        <w:b/>
        <w:lang w:val="en-GB"/>
      </w:rPr>
      <w:t>02</w:t>
    </w:r>
  </w:p>
  <w:p w14:paraId="04BEFF83" w14:textId="77777777" w:rsidR="001D40C1" w:rsidRDefault="001D40C1" w:rsidP="001D40C1">
    <w:pPr>
      <w:pStyle w:val="Capalera"/>
      <w:jc w:val="right"/>
      <w:rPr>
        <w:rFonts w:ascii="Times New Roman" w:hAnsi="Times New Roman"/>
        <w:lang w:val="en-GB"/>
      </w:rPr>
    </w:pPr>
    <w:r>
      <w:rPr>
        <w:rFonts w:ascii="Times New Roman" w:hAnsi="Times New Roman"/>
        <w:lang w:val="en-GB"/>
      </w:rPr>
      <w:t>16</w:t>
    </w:r>
    <w:r>
      <w:rPr>
        <w:rFonts w:ascii="Times New Roman" w:hAnsi="Times New Roman"/>
        <w:vertAlign w:val="superscript"/>
        <w:lang w:val="en-GB"/>
      </w:rPr>
      <w:t>th</w:t>
    </w:r>
    <w:r>
      <w:rPr>
        <w:rFonts w:ascii="Times New Roman" w:hAnsi="Times New Roman"/>
        <w:lang w:val="en-GB"/>
      </w:rPr>
      <w:t xml:space="preserve"> IWG on PTI meeting, 15 November 2019</w:t>
    </w:r>
  </w:p>
  <w:p w14:paraId="0DA0EE81" w14:textId="40B3A9B1" w:rsidR="001D40C1" w:rsidRPr="001D40C1" w:rsidRDefault="001D40C1" w:rsidP="001D40C1">
    <w:pPr>
      <w:pStyle w:val="Capalera"/>
      <w:jc w:val="right"/>
      <w:rPr>
        <w:rFonts w:hint="eastAsia"/>
      </w:rPr>
    </w:pPr>
    <w:r>
      <w:rPr>
        <w:rFonts w:ascii="Times New Roman" w:hAnsi="Times New Roman"/>
        <w:lang w:val="en-GB"/>
      </w:rPr>
      <w:t>Agenda item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wsbAwtTA2tDQ2MjVU0lEKTi0uzszPAykwrAUAtmK5oCwAAAA="/>
  </w:docVars>
  <w:rsids>
    <w:rsidRoot w:val="00D70B49"/>
    <w:rsid w:val="00114578"/>
    <w:rsid w:val="00156014"/>
    <w:rsid w:val="00171207"/>
    <w:rsid w:val="0018096B"/>
    <w:rsid w:val="001D40C1"/>
    <w:rsid w:val="002F0A48"/>
    <w:rsid w:val="0035070A"/>
    <w:rsid w:val="00367013"/>
    <w:rsid w:val="003F11B2"/>
    <w:rsid w:val="0040452B"/>
    <w:rsid w:val="005C7C84"/>
    <w:rsid w:val="0070768E"/>
    <w:rsid w:val="0075642E"/>
    <w:rsid w:val="00782A6D"/>
    <w:rsid w:val="007B4905"/>
    <w:rsid w:val="007D2A06"/>
    <w:rsid w:val="00820008"/>
    <w:rsid w:val="00833051"/>
    <w:rsid w:val="008A2CE7"/>
    <w:rsid w:val="00974DE6"/>
    <w:rsid w:val="00A54906"/>
    <w:rsid w:val="00B02030"/>
    <w:rsid w:val="00B818C9"/>
    <w:rsid w:val="00BE3308"/>
    <w:rsid w:val="00D70B49"/>
    <w:rsid w:val="00E16D02"/>
    <w:rsid w:val="00E7295E"/>
    <w:rsid w:val="00FA76A2"/>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20C9"/>
  <w15:chartTrackingRefBased/>
  <w15:docId w15:val="{67EFD67E-9D81-486F-89D5-2BDBBE51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49"/>
    <w:pPr>
      <w:widowControl w:val="0"/>
      <w:spacing w:after="0" w:line="240" w:lineRule="auto"/>
    </w:pPr>
    <w:rPr>
      <w:rFonts w:ascii="Liberation Serif" w:eastAsia="SimSun" w:hAnsi="Liberation Serif" w:cs="Mangal"/>
      <w:kern w:val="2"/>
      <w:sz w:val="24"/>
      <w:szCs w:val="24"/>
      <w:lang w:eastAsia="zh-CN" w:bidi="hi-IN"/>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D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Textindependent"/>
    <w:qFormat/>
    <w:rsid w:val="00D70B49"/>
    <w:pPr>
      <w:spacing w:after="0"/>
    </w:pPr>
    <w:rPr>
      <w:szCs w:val="24"/>
    </w:rPr>
  </w:style>
  <w:style w:type="paragraph" w:styleId="Textindependent">
    <w:name w:val="Body Text"/>
    <w:basedOn w:val="Normal"/>
    <w:link w:val="TextindependentCar"/>
    <w:uiPriority w:val="99"/>
    <w:semiHidden/>
    <w:unhideWhenUsed/>
    <w:rsid w:val="00D70B49"/>
    <w:pPr>
      <w:spacing w:after="120"/>
    </w:pPr>
    <w:rPr>
      <w:szCs w:val="21"/>
    </w:rPr>
  </w:style>
  <w:style w:type="character" w:customStyle="1" w:styleId="TextindependentCar">
    <w:name w:val="Text independent Car"/>
    <w:basedOn w:val="Lletraperdefectedelpargraf"/>
    <w:link w:val="Textindependent"/>
    <w:uiPriority w:val="99"/>
    <w:semiHidden/>
    <w:rsid w:val="00D70B49"/>
    <w:rPr>
      <w:rFonts w:ascii="Liberation Serif" w:eastAsia="SimSun" w:hAnsi="Liberation Serif" w:cs="Mangal"/>
      <w:kern w:val="2"/>
      <w:sz w:val="24"/>
      <w:szCs w:val="21"/>
      <w:lang w:eastAsia="zh-CN" w:bidi="hi-IN"/>
    </w:rPr>
  </w:style>
  <w:style w:type="paragraph" w:styleId="Capalera">
    <w:name w:val="header"/>
    <w:basedOn w:val="Normal"/>
    <w:link w:val="CapaleraCar"/>
    <w:uiPriority w:val="99"/>
    <w:unhideWhenUsed/>
    <w:rsid w:val="007B4905"/>
    <w:pPr>
      <w:tabs>
        <w:tab w:val="center" w:pos="4680"/>
        <w:tab w:val="right" w:pos="9360"/>
      </w:tabs>
    </w:pPr>
    <w:rPr>
      <w:szCs w:val="21"/>
    </w:rPr>
  </w:style>
  <w:style w:type="character" w:customStyle="1" w:styleId="CapaleraCar">
    <w:name w:val="Capçalera Car"/>
    <w:basedOn w:val="Lletraperdefectedelpargraf"/>
    <w:link w:val="Capalera"/>
    <w:uiPriority w:val="99"/>
    <w:rsid w:val="007B4905"/>
    <w:rPr>
      <w:rFonts w:ascii="Liberation Serif" w:eastAsia="SimSun" w:hAnsi="Liberation Serif" w:cs="Mangal"/>
      <w:kern w:val="2"/>
      <w:sz w:val="24"/>
      <w:szCs w:val="21"/>
      <w:lang w:eastAsia="zh-CN" w:bidi="hi-IN"/>
    </w:rPr>
  </w:style>
  <w:style w:type="paragraph" w:styleId="Peu">
    <w:name w:val="footer"/>
    <w:basedOn w:val="Normal"/>
    <w:link w:val="PeuCar"/>
    <w:uiPriority w:val="99"/>
    <w:unhideWhenUsed/>
    <w:rsid w:val="007B4905"/>
    <w:pPr>
      <w:tabs>
        <w:tab w:val="center" w:pos="4680"/>
        <w:tab w:val="right" w:pos="9360"/>
      </w:tabs>
    </w:pPr>
    <w:rPr>
      <w:szCs w:val="21"/>
    </w:rPr>
  </w:style>
  <w:style w:type="character" w:customStyle="1" w:styleId="PeuCar">
    <w:name w:val="Peu Car"/>
    <w:basedOn w:val="Lletraperdefectedelpargraf"/>
    <w:link w:val="Peu"/>
    <w:uiPriority w:val="99"/>
    <w:rsid w:val="007B4905"/>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230184">
      <w:bodyDiv w:val="1"/>
      <w:marLeft w:val="0"/>
      <w:marRight w:val="0"/>
      <w:marTop w:val="0"/>
      <w:marBottom w:val="0"/>
      <w:divBdr>
        <w:top w:val="none" w:sz="0" w:space="0" w:color="auto"/>
        <w:left w:val="none" w:sz="0" w:space="0" w:color="auto"/>
        <w:bottom w:val="none" w:sz="0" w:space="0" w:color="auto"/>
        <w:right w:val="none" w:sz="0" w:space="0" w:color="auto"/>
      </w:divBdr>
    </w:div>
    <w:div w:id="19310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5369-24DD-4954-B433-D4A5FB48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dc:creator>
  <cp:keywords/>
  <dc:description/>
  <cp:lastModifiedBy>Eduard Fernández</cp:lastModifiedBy>
  <cp:revision>3</cp:revision>
  <dcterms:created xsi:type="dcterms:W3CDTF">2019-11-08T11:55:00Z</dcterms:created>
  <dcterms:modified xsi:type="dcterms:W3CDTF">2019-11-10T08:41:00Z</dcterms:modified>
</cp:coreProperties>
</file>