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66"/>
        <w:tblW w:w="15507" w:type="dxa"/>
        <w:tblLayout w:type="fixed"/>
        <w:tblLook w:val="04A0" w:firstRow="1" w:lastRow="0" w:firstColumn="1" w:lastColumn="0" w:noHBand="0" w:noVBand="1"/>
      </w:tblPr>
      <w:tblGrid>
        <w:gridCol w:w="7767"/>
        <w:gridCol w:w="7740"/>
      </w:tblGrid>
      <w:tr w:rsidR="00442FC4" w:rsidRPr="00400BA9" w14:paraId="1A828A10" w14:textId="77777777" w:rsidTr="00442FC4">
        <w:trPr>
          <w:cantSplit/>
          <w:tblHeader/>
        </w:trPr>
        <w:tc>
          <w:tcPr>
            <w:tcW w:w="7767" w:type="dxa"/>
          </w:tcPr>
          <w:p w14:paraId="4ED8C2CC" w14:textId="77777777" w:rsidR="00442FC4" w:rsidRPr="00442FC4" w:rsidRDefault="00442FC4" w:rsidP="00442FC4">
            <w:pPr>
              <w:pStyle w:val="Header"/>
            </w:pPr>
            <w:r w:rsidRPr="00543F8D">
              <w:rPr>
                <w:b/>
                <w:lang w:val="en-US"/>
              </w:rPr>
              <w:t>Current te</w:t>
            </w:r>
            <w:r>
              <w:rPr>
                <w:b/>
                <w:lang w:val="en-US"/>
              </w:rPr>
              <w:t>xt (</w:t>
            </w:r>
            <w:r w:rsidR="00BB05CB">
              <w:fldChar w:fldCharType="begin"/>
            </w:r>
            <w:r w:rsidR="00BB05CB">
              <w:instrText xml:space="preserve"> TITLE  \* MERGEFORMAT </w:instrText>
            </w:r>
            <w:r w:rsidR="00BB05CB">
              <w:fldChar w:fldCharType="separate"/>
            </w:r>
            <w:r>
              <w:t>ECE/TRANS/WP.29/GRPE/2020/4</w:t>
            </w:r>
            <w:r w:rsidR="00BB05CB">
              <w:fldChar w:fldCharType="end"/>
            </w:r>
            <w:r>
              <w:t>)</w:t>
            </w:r>
          </w:p>
        </w:tc>
        <w:tc>
          <w:tcPr>
            <w:tcW w:w="7740" w:type="dxa"/>
          </w:tcPr>
          <w:p w14:paraId="6CB5EE44" w14:textId="77777777" w:rsidR="00442FC4" w:rsidRDefault="00442FC4" w:rsidP="00442FC4">
            <w:pPr>
              <w:pStyle w:val="Heading4"/>
              <w:jc w:val="center"/>
              <w:rPr>
                <w:b/>
              </w:rPr>
            </w:pPr>
            <w:r>
              <w:rPr>
                <w:b/>
              </w:rPr>
              <w:t>ACEA Proposal</w:t>
            </w:r>
          </w:p>
        </w:tc>
      </w:tr>
      <w:tr w:rsidR="00442FC4" w:rsidRPr="00290F8C" w14:paraId="52DB60DE" w14:textId="77777777" w:rsidTr="00442FC4">
        <w:trPr>
          <w:cantSplit/>
          <w:tblHeader/>
        </w:trPr>
        <w:tc>
          <w:tcPr>
            <w:tcW w:w="15507" w:type="dxa"/>
            <w:gridSpan w:val="2"/>
            <w:shd w:val="clear" w:color="auto" w:fill="E2EFF8"/>
          </w:tcPr>
          <w:p w14:paraId="1CF735E5" w14:textId="77777777" w:rsidR="00442FC4" w:rsidRDefault="00442FC4" w:rsidP="00442FC4">
            <w:pPr>
              <w:pStyle w:val="Heading4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Annex B6 </w:t>
            </w:r>
            <w:r w:rsidRPr="002618FB">
              <w:rPr>
                <w:b/>
                <w:i/>
                <w:lang w:val="en-GB"/>
              </w:rPr>
              <w:t>Type 1 test procedures and test conditions</w:t>
            </w:r>
          </w:p>
        </w:tc>
      </w:tr>
      <w:tr w:rsidR="00442FC4" w:rsidRPr="002E6145" w14:paraId="6D60CA98" w14:textId="77777777" w:rsidTr="00442FC4">
        <w:trPr>
          <w:cantSplit/>
          <w:tblHeader/>
        </w:trPr>
        <w:tc>
          <w:tcPr>
            <w:tcW w:w="7767" w:type="dxa"/>
            <w:shd w:val="clear" w:color="auto" w:fill="E2EFF8"/>
          </w:tcPr>
          <w:p w14:paraId="451FF3D9" w14:textId="77777777" w:rsidR="00442FC4" w:rsidRPr="002618FB" w:rsidRDefault="00442FC4" w:rsidP="00442F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</w:t>
            </w:r>
            <w:r w:rsidRPr="002618FB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2</w:t>
            </w:r>
            <w:r w:rsidRPr="002618FB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3</w:t>
            </w:r>
            <w:r w:rsidRPr="002618FB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4.</w:t>
            </w:r>
          </w:p>
          <w:p w14:paraId="75DAA571" w14:textId="77777777" w:rsidR="00442FC4" w:rsidRDefault="00442FC4" w:rsidP="00442FC4">
            <w:pPr>
              <w:rPr>
                <w:lang w:val="en-US"/>
              </w:rPr>
            </w:pPr>
            <w:r w:rsidRPr="002618FB">
              <w:rPr>
                <w:lang w:val="en-US"/>
              </w:rPr>
              <w:t>If after the first test all criteria in row 1 of the applicable Table A6/2 are fulfilled, all values declared by the manufacturer shall be accepted as the type approval value. If any one of the criteria in row 1 of the applicable Table A6/2 is not fulfilled, a second test shall be performed with the same vehicle.</w:t>
            </w:r>
          </w:p>
          <w:p w14:paraId="6009E98B" w14:textId="77777777" w:rsidR="00442FC4" w:rsidRPr="00442FC4" w:rsidRDefault="00442FC4" w:rsidP="00442F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442FC4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1.2.3.5.</w:t>
            </w:r>
          </w:p>
          <w:p w14:paraId="77515F52" w14:textId="77777777" w:rsidR="00442FC4" w:rsidRPr="00442FC4" w:rsidRDefault="00442FC4" w:rsidP="00442FC4">
            <w:pPr>
              <w:rPr>
                <w:lang w:val="en-US"/>
              </w:rPr>
            </w:pPr>
            <w:r w:rsidRPr="00442FC4">
              <w:rPr>
                <w:lang w:val="en-US"/>
              </w:rPr>
              <w:t>After the second test, the arithmetic average results of the two tests shall be calculated. If all criteria in row 2 of the applicable Table A6/2 are fulfilled by these arithmetic average results, all values declared by the manufacturer shall be accepted as the type approval value. If any one of the criteria in row 2 of the applicable Table A6/2 is not fulfilled, a third test shall be performed with the same vehicle.</w:t>
            </w:r>
          </w:p>
          <w:p w14:paraId="07C2C73A" w14:textId="77777777" w:rsidR="00442FC4" w:rsidRDefault="00442FC4" w:rsidP="00442FC4">
            <w:pPr>
              <w:pStyle w:val="Default"/>
              <w:rPr>
                <w:lang w:eastAsia="ja-JP"/>
              </w:rPr>
            </w:pPr>
            <w:r w:rsidRPr="00442FC4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1.2.3.6.</w:t>
            </w:r>
            <w:r w:rsidRPr="00950469">
              <w:rPr>
                <w:lang w:eastAsia="ja-JP"/>
              </w:rPr>
              <w:tab/>
            </w:r>
          </w:p>
          <w:p w14:paraId="5661A80D" w14:textId="77777777" w:rsidR="00442FC4" w:rsidRPr="00442FC4" w:rsidRDefault="00442FC4" w:rsidP="00442FC4">
            <w:pPr>
              <w:rPr>
                <w:lang w:val="en-US"/>
              </w:rPr>
            </w:pPr>
            <w:r w:rsidRPr="00442FC4">
              <w:rPr>
                <w:lang w:val="en-US"/>
              </w:rPr>
              <w:t>After the third test, the arithmetic average results of the three tests shall be calculated. For all parameters which fulfil the corresponding criterion in row 3 of the applicable Table A6/2, the declared value shall be taken as the type approval value. For any parameter which does not fulfil the corresponding criterion in row 3 of the applicable Table A6/2, the arithmetic average result shall be taken as the type approval value.</w:t>
            </w:r>
          </w:p>
          <w:p w14:paraId="7B78EC76" w14:textId="77777777" w:rsidR="00442FC4" w:rsidRDefault="00442FC4" w:rsidP="00442FC4">
            <w:pPr>
              <w:pStyle w:val="Default"/>
              <w:rPr>
                <w:lang w:eastAsia="ja-JP"/>
              </w:rPr>
            </w:pPr>
            <w:r w:rsidRPr="00442FC4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1.2.3.7.</w:t>
            </w:r>
            <w:r w:rsidRPr="00950469">
              <w:rPr>
                <w:lang w:eastAsia="ja-JP"/>
              </w:rPr>
              <w:tab/>
            </w:r>
          </w:p>
          <w:p w14:paraId="691460BA" w14:textId="77777777" w:rsidR="00442FC4" w:rsidRPr="00442FC4" w:rsidRDefault="00442FC4" w:rsidP="00442FC4">
            <w:pPr>
              <w:rPr>
                <w:lang w:val="en-US"/>
              </w:rPr>
            </w:pPr>
            <w:r w:rsidRPr="00442FC4">
              <w:rPr>
                <w:lang w:val="en-US"/>
              </w:rPr>
              <w:t>In the case that any one of the criterion of the applicable Table A6/2 is not fulfilled after the first or second test, at the request of the manufacturer and with the approval of the responsible authority, the values may be re-declared as higher values for emissions or consumption, or as lower values for electric ranges, in order to reduce the required number of tests for type approval.</w:t>
            </w:r>
          </w:p>
          <w:p w14:paraId="4DCFB522" w14:textId="77777777" w:rsidR="00442FC4" w:rsidRPr="00442FC4" w:rsidRDefault="00442FC4" w:rsidP="00442FC4"/>
        </w:tc>
        <w:tc>
          <w:tcPr>
            <w:tcW w:w="7740" w:type="dxa"/>
            <w:shd w:val="clear" w:color="auto" w:fill="E2EFF8"/>
          </w:tcPr>
          <w:p w14:paraId="7601777D" w14:textId="77777777" w:rsidR="00D86D23" w:rsidRDefault="00D86D23" w:rsidP="00D86D23">
            <w:pPr>
              <w:pStyle w:val="Default"/>
              <w:rPr>
                <w:lang w:eastAsia="ja-JP"/>
              </w:rPr>
            </w:pPr>
            <w:r w:rsidRPr="00442FC4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1.2.3.6.</w:t>
            </w:r>
            <w:r w:rsidRPr="00950469">
              <w:rPr>
                <w:lang w:eastAsia="ja-JP"/>
              </w:rPr>
              <w:tab/>
            </w:r>
          </w:p>
          <w:p w14:paraId="3151E3E2" w14:textId="77777777" w:rsidR="00D86D23" w:rsidRPr="00442FC4" w:rsidRDefault="00D86D23" w:rsidP="00D86D23">
            <w:pPr>
              <w:rPr>
                <w:lang w:val="en-US"/>
              </w:rPr>
            </w:pPr>
            <w:r w:rsidRPr="00442FC4">
              <w:rPr>
                <w:lang w:val="en-US"/>
              </w:rPr>
              <w:t>After the third test, the arithmetic average results of the three tests shall be calculated. For all parameters which fulfil the corresponding criterion in row 3 of the applicable Table A6/2, the declared value shall be taken as the type approval value. For any parameter which does not fulfil the corresponding criterion in row 3 of the applicable Table A6/2, the arithmetic average result shall be taken as the type approval value.</w:t>
            </w:r>
          </w:p>
          <w:p w14:paraId="2DA0171D" w14:textId="77777777" w:rsidR="00D86D23" w:rsidRDefault="00D86D23" w:rsidP="00D86D23">
            <w:pPr>
              <w:pStyle w:val="Default"/>
              <w:rPr>
                <w:lang w:eastAsia="ja-JP"/>
              </w:rPr>
            </w:pPr>
            <w:r w:rsidRPr="00442FC4"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  <w:t>1.2.3.7.</w:t>
            </w:r>
            <w:r w:rsidRPr="00950469">
              <w:rPr>
                <w:lang w:eastAsia="ja-JP"/>
              </w:rPr>
              <w:tab/>
            </w:r>
          </w:p>
          <w:p w14:paraId="71A38E58" w14:textId="77777777" w:rsidR="00D86D23" w:rsidRPr="00D86D23" w:rsidRDefault="00D86D23" w:rsidP="00D86D23">
            <w:pPr>
              <w:rPr>
                <w:strike/>
                <w:lang w:val="en-US"/>
              </w:rPr>
            </w:pPr>
            <w:r w:rsidRPr="00D86D23">
              <w:rPr>
                <w:strike/>
                <w:lang w:val="en-US"/>
              </w:rPr>
              <w:t>In the case that any one of the criterion of the applicable Table A6/2 is not fulfilled after the first or second test, at the request of the manufacturer and with the approval of the responsible authority, the values may be re-declared as higher values for emissions or consumption, or as lower values for electric ranges, in order to reduce the required number of tests for type approval.</w:t>
            </w:r>
          </w:p>
          <w:p w14:paraId="4D2D7130" w14:textId="457E0727" w:rsidR="00D86D23" w:rsidRPr="00402F18" w:rsidRDefault="00D86D23" w:rsidP="00D86D23">
            <w:pPr>
              <w:rPr>
                <w:color w:val="318ACA" w:themeColor="background2" w:themeShade="BF"/>
                <w:lang w:val="en-US"/>
              </w:rPr>
            </w:pPr>
            <w:r w:rsidRPr="00402F18">
              <w:rPr>
                <w:color w:val="318ACA" w:themeColor="background2" w:themeShade="BF"/>
                <w:lang w:val="en-US"/>
              </w:rPr>
              <w:t>If after the third test all criteria in row 1, 2 and 3 of the applicable Table A6/2 are fulfilled and if the vehicle operation during charge-depleting is fundamentally different between the first and the following tests (i.e. different</w:t>
            </w:r>
            <w:r w:rsidR="000C5B33">
              <w:rPr>
                <w:color w:val="318ACA" w:themeColor="background2" w:themeShade="BF"/>
                <w:lang w:val="en-US"/>
              </w:rPr>
              <w:t xml:space="preserve"> sequence in the</w:t>
            </w:r>
            <w:r w:rsidRPr="00402F18">
              <w:rPr>
                <w:color w:val="318ACA" w:themeColor="background2" w:themeShade="BF"/>
                <w:lang w:val="en-US"/>
              </w:rPr>
              <w:t xml:space="preserve"> transition cycle), then at the request of the manufacturer and by providing technical justification to the responsible </w:t>
            </w:r>
            <w:r w:rsidR="000C5B33">
              <w:rPr>
                <w:color w:val="318ACA" w:themeColor="background2" w:themeShade="BF"/>
                <w:lang w:val="en-US"/>
              </w:rPr>
              <w:t>a</w:t>
            </w:r>
            <w:r w:rsidRPr="00402F18">
              <w:rPr>
                <w:color w:val="318ACA" w:themeColor="background2" w:themeShade="BF"/>
                <w:lang w:val="en-US"/>
              </w:rPr>
              <w:t>uthority, one of those tests shall be voided.</w:t>
            </w:r>
            <w:bookmarkStart w:id="0" w:name="_GoBack"/>
            <w:bookmarkEnd w:id="0"/>
          </w:p>
          <w:p w14:paraId="635C1953" w14:textId="77777777" w:rsidR="00D86D23" w:rsidRPr="00402F18" w:rsidRDefault="00D86D23" w:rsidP="00D86D23">
            <w:pPr>
              <w:rPr>
                <w:color w:val="318ACA" w:themeColor="background2" w:themeShade="BF"/>
                <w:lang w:val="en-US"/>
              </w:rPr>
            </w:pPr>
          </w:p>
          <w:p w14:paraId="5F446BA7" w14:textId="77777777" w:rsidR="00D86D23" w:rsidRPr="00402F18" w:rsidRDefault="00D86D23" w:rsidP="00D86D23">
            <w:pPr>
              <w:pStyle w:val="Default"/>
              <w:rPr>
                <w:color w:val="318ACA" w:themeColor="background2" w:themeShade="BF"/>
                <w:lang w:eastAsia="ja-JP"/>
              </w:rPr>
            </w:pPr>
            <w:r w:rsidRPr="00402F18">
              <w:rPr>
                <w:rFonts w:ascii="Arial" w:hAnsi="Arial" w:cs="Arial"/>
                <w:color w:val="318ACA" w:themeColor="background2" w:themeShade="BF"/>
                <w:sz w:val="19"/>
                <w:szCs w:val="19"/>
                <w:lang w:val="en-US"/>
              </w:rPr>
              <w:t>1.2.3.8.</w:t>
            </w:r>
            <w:r w:rsidRPr="00402F18">
              <w:rPr>
                <w:color w:val="318ACA" w:themeColor="background2" w:themeShade="BF"/>
                <w:lang w:eastAsia="ja-JP"/>
              </w:rPr>
              <w:tab/>
            </w:r>
          </w:p>
          <w:p w14:paraId="5EE2D216" w14:textId="77777777" w:rsidR="00D86D23" w:rsidRPr="00402F18" w:rsidRDefault="00D86D23" w:rsidP="00D86D23">
            <w:pPr>
              <w:rPr>
                <w:lang w:val="en-US"/>
              </w:rPr>
            </w:pPr>
            <w:r w:rsidRPr="00402F18">
              <w:rPr>
                <w:lang w:val="en-US"/>
              </w:rPr>
              <w:t>In the case that any one of the criterion of the applicable Table A6/2 is not fulfilled after the first or second test, at the request of the manufacturer and with the approval of the responsible authority, the values may be re-declared as higher values for emissions or consumption, or as lower values for electric ranges, in order to reduce the required number of tests for type approval.</w:t>
            </w:r>
          </w:p>
          <w:p w14:paraId="7BA112F2" w14:textId="50014A24" w:rsidR="00402F18" w:rsidRPr="00402F18" w:rsidRDefault="00402F18" w:rsidP="00442FC4">
            <w:pPr>
              <w:rPr>
                <w:sz w:val="16"/>
                <w:lang w:val="en-US"/>
              </w:rPr>
            </w:pPr>
          </w:p>
        </w:tc>
      </w:tr>
      <w:tr w:rsidR="00442FC4" w:rsidRPr="002E6145" w14:paraId="38C986BD" w14:textId="77777777" w:rsidTr="00D86D23">
        <w:trPr>
          <w:cantSplit/>
          <w:trHeight w:val="1280"/>
          <w:tblHeader/>
        </w:trPr>
        <w:tc>
          <w:tcPr>
            <w:tcW w:w="15507" w:type="dxa"/>
            <w:gridSpan w:val="2"/>
            <w:shd w:val="clear" w:color="auto" w:fill="E2EFF8"/>
          </w:tcPr>
          <w:p w14:paraId="35490CA6" w14:textId="77777777" w:rsidR="00442FC4" w:rsidRPr="00543F8D" w:rsidRDefault="00442FC4" w:rsidP="00442FC4">
            <w:pPr>
              <w:pStyle w:val="Heading4"/>
              <w:ind w:left="29"/>
              <w:rPr>
                <w:lang w:val="en-GB"/>
              </w:rPr>
            </w:pPr>
            <w:r w:rsidRPr="00B8656A">
              <w:rPr>
                <w:lang w:val="en-GB"/>
              </w:rPr>
              <w:t>Justification:</w:t>
            </w:r>
          </w:p>
          <w:p w14:paraId="4E7717A4" w14:textId="77777777" w:rsidR="00442FC4" w:rsidRPr="002618FB" w:rsidRDefault="00442FC4" w:rsidP="00442FC4">
            <w:pPr>
              <w:ind w:left="29"/>
              <w:rPr>
                <w:lang w:val="en-US"/>
              </w:rPr>
            </w:pPr>
            <w:r>
              <w:rPr>
                <w:lang w:val="en-GB" w:eastAsia="ja-JP"/>
              </w:rPr>
              <w:t>-</w:t>
            </w:r>
            <w:r w:rsidRPr="002618FB">
              <w:rPr>
                <w:lang w:val="en-US"/>
              </w:rPr>
              <w:t>In the current Regulation</w:t>
            </w:r>
            <w:r>
              <w:rPr>
                <w:lang w:val="en-US"/>
              </w:rPr>
              <w:t>,</w:t>
            </w:r>
            <w:r w:rsidRPr="002618FB">
              <w:rPr>
                <w:lang w:val="en-US"/>
              </w:rPr>
              <w:t xml:space="preserve"> it is unclear which cycles will be used for the averaging calculations</w:t>
            </w:r>
            <w:r>
              <w:rPr>
                <w:lang w:val="en-US"/>
              </w:rPr>
              <w:t xml:space="preserve"> if there is an inconsistency at expected number of cycles in CD modes for OVC-HEV (i.e. Test 1: 4 cycle, Test 2: 3 cycle)</w:t>
            </w:r>
            <w:r w:rsidRPr="002618FB">
              <w:rPr>
                <w:lang w:val="en-US"/>
              </w:rPr>
              <w:t>.</w:t>
            </w:r>
          </w:p>
          <w:p w14:paraId="49D2D887" w14:textId="77777777" w:rsidR="00442FC4" w:rsidRPr="002618FB" w:rsidRDefault="00442FC4" w:rsidP="00442FC4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618FB">
              <w:rPr>
                <w:lang w:val="en-US"/>
              </w:rPr>
              <w:t>This is something not likely to happen, however the specific situation is not currently covered by the Regulation.</w:t>
            </w:r>
          </w:p>
        </w:tc>
      </w:tr>
    </w:tbl>
    <w:p w14:paraId="53F5723F" w14:textId="732B0B67" w:rsidR="00986DEC" w:rsidRDefault="002618FB" w:rsidP="002618FB">
      <w:pPr>
        <w:pStyle w:val="Header"/>
        <w:jc w:val="center"/>
        <w:rPr>
          <w:sz w:val="36"/>
        </w:rPr>
      </w:pPr>
      <w:r w:rsidRPr="002618FB">
        <w:rPr>
          <w:sz w:val="36"/>
        </w:rPr>
        <w:t>Inconsistency at expected number of cycles in CD mode for OVC-HEVs</w:t>
      </w:r>
    </w:p>
    <w:sectPr w:rsidR="00986DEC" w:rsidSect="00432ED6">
      <w:headerReference w:type="default" r:id="rId8"/>
      <w:type w:val="continuous"/>
      <w:pgSz w:w="16839" w:h="11907" w:orient="landscape" w:code="9"/>
      <w:pgMar w:top="1440" w:right="1134" w:bottom="1134" w:left="1179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1D8A" w14:textId="77777777" w:rsidR="00BB05CB" w:rsidRDefault="00BB05CB">
      <w:r>
        <w:separator/>
      </w:r>
    </w:p>
    <w:p w14:paraId="6066122B" w14:textId="77777777" w:rsidR="00BB05CB" w:rsidRDefault="00BB05CB"/>
    <w:p w14:paraId="46D3F00F" w14:textId="77777777" w:rsidR="00BB05CB" w:rsidRDefault="00BB05CB"/>
  </w:endnote>
  <w:endnote w:type="continuationSeparator" w:id="0">
    <w:p w14:paraId="536E1BB5" w14:textId="77777777" w:rsidR="00BB05CB" w:rsidRDefault="00BB05CB">
      <w:r>
        <w:continuationSeparator/>
      </w:r>
    </w:p>
    <w:p w14:paraId="4229CEE3" w14:textId="77777777" w:rsidR="00BB05CB" w:rsidRDefault="00BB05CB"/>
    <w:p w14:paraId="58F2B607" w14:textId="77777777" w:rsidR="00BB05CB" w:rsidRDefault="00BB0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W Headline OT-Black">
    <w:altName w:val="Arial"/>
    <w:charset w:val="00"/>
    <w:family w:val="swiss"/>
    <w:pitch w:val="variable"/>
    <w:sig w:usb0="00000001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EF69" w14:textId="77777777" w:rsidR="00BB05CB" w:rsidRDefault="00BB05CB">
      <w:r>
        <w:separator/>
      </w:r>
    </w:p>
    <w:p w14:paraId="2E558260" w14:textId="77777777" w:rsidR="00BB05CB" w:rsidRDefault="00BB05CB"/>
    <w:p w14:paraId="2177755E" w14:textId="77777777" w:rsidR="00BB05CB" w:rsidRDefault="00BB05CB"/>
  </w:footnote>
  <w:footnote w:type="continuationSeparator" w:id="0">
    <w:p w14:paraId="33DB6B87" w14:textId="77777777" w:rsidR="00BB05CB" w:rsidRDefault="00BB05CB">
      <w:r>
        <w:continuationSeparator/>
      </w:r>
    </w:p>
    <w:p w14:paraId="03B8E19A" w14:textId="77777777" w:rsidR="00BB05CB" w:rsidRDefault="00BB05CB"/>
    <w:p w14:paraId="66B39654" w14:textId="77777777" w:rsidR="00BB05CB" w:rsidRDefault="00BB0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9629" w14:textId="3F3AF536" w:rsidR="00543F8D" w:rsidRDefault="00543F8D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F82146" w:rsidRPr="00F82146">
      <w:rPr>
        <w:b/>
        <w:noProof/>
      </w:rPr>
      <w:t>2</w:t>
    </w:r>
    <w:r>
      <w:fldChar w:fldCharType="end"/>
    </w:r>
  </w:p>
  <w:p w14:paraId="172D989C" w14:textId="77777777" w:rsidR="00543F8D" w:rsidRDefault="00543F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5A7A"/>
    <w:multiLevelType w:val="hybridMultilevel"/>
    <w:tmpl w:val="C802789C"/>
    <w:lvl w:ilvl="0" w:tplc="F786915E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3347D"/>
    <w:multiLevelType w:val="hybridMultilevel"/>
    <w:tmpl w:val="B804E5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14CD"/>
    <w:multiLevelType w:val="multilevel"/>
    <w:tmpl w:val="9E661C7E"/>
    <w:lvl w:ilvl="0">
      <w:start w:val="3"/>
      <w:numFmt w:val="decimal"/>
      <w:lvlText w:val="%1"/>
      <w:lvlJc w:val="left"/>
      <w:pPr>
        <w:ind w:left="804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4">
      <w:numFmt w:val="bullet"/>
      <w:lvlText w:val="•"/>
      <w:lvlJc w:val="left"/>
      <w:pPr>
        <w:ind w:left="4252" w:hanging="704"/>
      </w:pPr>
      <w:rPr>
        <w:rFonts w:hint="default"/>
      </w:rPr>
    </w:lvl>
    <w:lvl w:ilvl="5">
      <w:numFmt w:val="bullet"/>
      <w:lvlText w:val="•"/>
      <w:lvlJc w:val="left"/>
      <w:pPr>
        <w:ind w:left="5115" w:hanging="704"/>
      </w:pPr>
      <w:rPr>
        <w:rFonts w:hint="default"/>
      </w:rPr>
    </w:lvl>
    <w:lvl w:ilvl="6">
      <w:numFmt w:val="bullet"/>
      <w:lvlText w:val="•"/>
      <w:lvlJc w:val="left"/>
      <w:pPr>
        <w:ind w:left="5978" w:hanging="704"/>
      </w:pPr>
      <w:rPr>
        <w:rFonts w:hint="default"/>
      </w:rPr>
    </w:lvl>
    <w:lvl w:ilvl="7">
      <w:numFmt w:val="bullet"/>
      <w:lvlText w:val="•"/>
      <w:lvlJc w:val="left"/>
      <w:pPr>
        <w:ind w:left="6841" w:hanging="704"/>
      </w:pPr>
      <w:rPr>
        <w:rFonts w:hint="default"/>
      </w:rPr>
    </w:lvl>
    <w:lvl w:ilvl="8">
      <w:numFmt w:val="bullet"/>
      <w:lvlText w:val="•"/>
      <w:lvlJc w:val="left"/>
      <w:pPr>
        <w:ind w:left="7704" w:hanging="704"/>
      </w:pPr>
      <w:rPr>
        <w:rFonts w:hint="default"/>
      </w:rPr>
    </w:lvl>
  </w:abstractNum>
  <w:abstractNum w:abstractNumId="3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45F"/>
    <w:multiLevelType w:val="multilevel"/>
    <w:tmpl w:val="30EA120C"/>
    <w:lvl w:ilvl="0">
      <w:start w:val="3"/>
      <w:numFmt w:val="decimal"/>
      <w:lvlText w:val="%1"/>
      <w:lvlJc w:val="left"/>
      <w:pPr>
        <w:ind w:left="804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4">
      <w:numFmt w:val="bullet"/>
      <w:lvlText w:val="•"/>
      <w:lvlJc w:val="left"/>
      <w:pPr>
        <w:ind w:left="4252" w:hanging="704"/>
      </w:pPr>
      <w:rPr>
        <w:rFonts w:hint="default"/>
      </w:rPr>
    </w:lvl>
    <w:lvl w:ilvl="5">
      <w:numFmt w:val="bullet"/>
      <w:lvlText w:val="•"/>
      <w:lvlJc w:val="left"/>
      <w:pPr>
        <w:ind w:left="5115" w:hanging="704"/>
      </w:pPr>
      <w:rPr>
        <w:rFonts w:hint="default"/>
      </w:rPr>
    </w:lvl>
    <w:lvl w:ilvl="6">
      <w:numFmt w:val="bullet"/>
      <w:lvlText w:val="•"/>
      <w:lvlJc w:val="left"/>
      <w:pPr>
        <w:ind w:left="5978" w:hanging="704"/>
      </w:pPr>
      <w:rPr>
        <w:rFonts w:hint="default"/>
      </w:rPr>
    </w:lvl>
    <w:lvl w:ilvl="7">
      <w:numFmt w:val="bullet"/>
      <w:lvlText w:val="•"/>
      <w:lvlJc w:val="left"/>
      <w:pPr>
        <w:ind w:left="6841" w:hanging="704"/>
      </w:pPr>
      <w:rPr>
        <w:rFonts w:hint="default"/>
      </w:rPr>
    </w:lvl>
    <w:lvl w:ilvl="8">
      <w:numFmt w:val="bullet"/>
      <w:lvlText w:val="•"/>
      <w:lvlJc w:val="left"/>
      <w:pPr>
        <w:ind w:left="7704" w:hanging="704"/>
      </w:pPr>
      <w:rPr>
        <w:rFonts w:hint="default"/>
      </w:rPr>
    </w:lvl>
  </w:abstractNum>
  <w:abstractNum w:abstractNumId="5" w15:restartNumberingAfterBreak="0">
    <w:nsid w:val="56FE0BCA"/>
    <w:multiLevelType w:val="multilevel"/>
    <w:tmpl w:val="C0D8C0DE"/>
    <w:lvl w:ilvl="0">
      <w:start w:val="3"/>
      <w:numFmt w:val="decimal"/>
      <w:lvlText w:val="%1"/>
      <w:lvlJc w:val="left"/>
      <w:pPr>
        <w:ind w:left="804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4">
      <w:numFmt w:val="bullet"/>
      <w:lvlText w:val="•"/>
      <w:lvlJc w:val="left"/>
      <w:pPr>
        <w:ind w:left="4252" w:hanging="704"/>
      </w:pPr>
      <w:rPr>
        <w:rFonts w:hint="default"/>
      </w:rPr>
    </w:lvl>
    <w:lvl w:ilvl="5">
      <w:numFmt w:val="bullet"/>
      <w:lvlText w:val="•"/>
      <w:lvlJc w:val="left"/>
      <w:pPr>
        <w:ind w:left="5115" w:hanging="704"/>
      </w:pPr>
      <w:rPr>
        <w:rFonts w:hint="default"/>
      </w:rPr>
    </w:lvl>
    <w:lvl w:ilvl="6">
      <w:numFmt w:val="bullet"/>
      <w:lvlText w:val="•"/>
      <w:lvlJc w:val="left"/>
      <w:pPr>
        <w:ind w:left="5978" w:hanging="704"/>
      </w:pPr>
      <w:rPr>
        <w:rFonts w:hint="default"/>
      </w:rPr>
    </w:lvl>
    <w:lvl w:ilvl="7">
      <w:numFmt w:val="bullet"/>
      <w:lvlText w:val="•"/>
      <w:lvlJc w:val="left"/>
      <w:pPr>
        <w:ind w:left="6841" w:hanging="704"/>
      </w:pPr>
      <w:rPr>
        <w:rFonts w:hint="default"/>
      </w:rPr>
    </w:lvl>
    <w:lvl w:ilvl="8">
      <w:numFmt w:val="bullet"/>
      <w:lvlText w:val="•"/>
      <w:lvlJc w:val="left"/>
      <w:pPr>
        <w:ind w:left="7704" w:hanging="704"/>
      </w:pPr>
      <w:rPr>
        <w:rFonts w:hint="default"/>
      </w:rPr>
    </w:lvl>
  </w:abstractNum>
  <w:abstractNum w:abstractNumId="6" w15:restartNumberingAfterBreak="0">
    <w:nsid w:val="6D790284"/>
    <w:multiLevelType w:val="multilevel"/>
    <w:tmpl w:val="1EBC88C2"/>
    <w:lvl w:ilvl="0">
      <w:start w:val="3"/>
      <w:numFmt w:val="decimal"/>
      <w:lvlText w:val="%1"/>
      <w:lvlJc w:val="left"/>
      <w:pPr>
        <w:ind w:left="804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04" w:hanging="704"/>
      </w:pPr>
      <w:rPr>
        <w:rFonts w:ascii="Cambria" w:hAnsi="Cambria" w:cs="Cambria" w:hint="default"/>
        <w:b w:val="0"/>
        <w:bCs w:val="0"/>
        <w:color w:val="1A171C"/>
        <w:spacing w:val="-3"/>
        <w:w w:val="97"/>
        <w:sz w:val="19"/>
        <w:szCs w:val="19"/>
      </w:rPr>
    </w:lvl>
    <w:lvl w:ilvl="4">
      <w:numFmt w:val="bullet"/>
      <w:lvlText w:val="•"/>
      <w:lvlJc w:val="left"/>
      <w:pPr>
        <w:ind w:left="4252" w:hanging="704"/>
      </w:pPr>
      <w:rPr>
        <w:rFonts w:hint="default"/>
      </w:rPr>
    </w:lvl>
    <w:lvl w:ilvl="5">
      <w:numFmt w:val="bullet"/>
      <w:lvlText w:val="•"/>
      <w:lvlJc w:val="left"/>
      <w:pPr>
        <w:ind w:left="5115" w:hanging="704"/>
      </w:pPr>
      <w:rPr>
        <w:rFonts w:hint="default"/>
      </w:rPr>
    </w:lvl>
    <w:lvl w:ilvl="6">
      <w:numFmt w:val="bullet"/>
      <w:lvlText w:val="•"/>
      <w:lvlJc w:val="left"/>
      <w:pPr>
        <w:ind w:left="5978" w:hanging="704"/>
      </w:pPr>
      <w:rPr>
        <w:rFonts w:hint="default"/>
      </w:rPr>
    </w:lvl>
    <w:lvl w:ilvl="7">
      <w:numFmt w:val="bullet"/>
      <w:lvlText w:val="•"/>
      <w:lvlJc w:val="left"/>
      <w:pPr>
        <w:ind w:left="6841" w:hanging="704"/>
      </w:pPr>
      <w:rPr>
        <w:rFonts w:hint="default"/>
      </w:rPr>
    </w:lvl>
    <w:lvl w:ilvl="8">
      <w:numFmt w:val="bullet"/>
      <w:lvlText w:val="•"/>
      <w:lvlJc w:val="left"/>
      <w:pPr>
        <w:ind w:left="7704" w:hanging="70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23"/>
    <w:rsid w:val="00004187"/>
    <w:rsid w:val="00010D8D"/>
    <w:rsid w:val="000202F3"/>
    <w:rsid w:val="0004352F"/>
    <w:rsid w:val="00047293"/>
    <w:rsid w:val="00065CBA"/>
    <w:rsid w:val="00066550"/>
    <w:rsid w:val="00075FFF"/>
    <w:rsid w:val="00087896"/>
    <w:rsid w:val="00096CD1"/>
    <w:rsid w:val="000A7A98"/>
    <w:rsid w:val="000C5B33"/>
    <w:rsid w:val="000D15A0"/>
    <w:rsid w:val="000F26C4"/>
    <w:rsid w:val="00105450"/>
    <w:rsid w:val="00132313"/>
    <w:rsid w:val="00136503"/>
    <w:rsid w:val="00141923"/>
    <w:rsid w:val="0014247D"/>
    <w:rsid w:val="0015243F"/>
    <w:rsid w:val="00156A67"/>
    <w:rsid w:val="00176C28"/>
    <w:rsid w:val="00182AA6"/>
    <w:rsid w:val="001B3FA7"/>
    <w:rsid w:val="001B4DFC"/>
    <w:rsid w:val="001B6D0C"/>
    <w:rsid w:val="001D2BC8"/>
    <w:rsid w:val="001F3150"/>
    <w:rsid w:val="001F324D"/>
    <w:rsid w:val="001F6FC0"/>
    <w:rsid w:val="001F75CF"/>
    <w:rsid w:val="00203CAB"/>
    <w:rsid w:val="00211ECC"/>
    <w:rsid w:val="0021479E"/>
    <w:rsid w:val="00215887"/>
    <w:rsid w:val="00227845"/>
    <w:rsid w:val="002362E1"/>
    <w:rsid w:val="002368F9"/>
    <w:rsid w:val="00255A32"/>
    <w:rsid w:val="002618FB"/>
    <w:rsid w:val="00262A3B"/>
    <w:rsid w:val="00282683"/>
    <w:rsid w:val="00290F8C"/>
    <w:rsid w:val="002A0027"/>
    <w:rsid w:val="002B25AE"/>
    <w:rsid w:val="002D3EF4"/>
    <w:rsid w:val="002E6145"/>
    <w:rsid w:val="002F5BE6"/>
    <w:rsid w:val="002F63B9"/>
    <w:rsid w:val="002F7875"/>
    <w:rsid w:val="00302722"/>
    <w:rsid w:val="00325706"/>
    <w:rsid w:val="0032607D"/>
    <w:rsid w:val="00343BA4"/>
    <w:rsid w:val="003744E0"/>
    <w:rsid w:val="00377A44"/>
    <w:rsid w:val="003A242C"/>
    <w:rsid w:val="003B3D30"/>
    <w:rsid w:val="003C7817"/>
    <w:rsid w:val="003D2468"/>
    <w:rsid w:val="003E59E4"/>
    <w:rsid w:val="00400BA9"/>
    <w:rsid w:val="00401D9D"/>
    <w:rsid w:val="0040204D"/>
    <w:rsid w:val="00402F18"/>
    <w:rsid w:val="00402F29"/>
    <w:rsid w:val="00415BAB"/>
    <w:rsid w:val="004171B8"/>
    <w:rsid w:val="00421439"/>
    <w:rsid w:val="00424A8F"/>
    <w:rsid w:val="00432ED6"/>
    <w:rsid w:val="00433A6D"/>
    <w:rsid w:val="004361D2"/>
    <w:rsid w:val="00442FC4"/>
    <w:rsid w:val="00446509"/>
    <w:rsid w:val="00454486"/>
    <w:rsid w:val="00455F9F"/>
    <w:rsid w:val="00467A21"/>
    <w:rsid w:val="00467D88"/>
    <w:rsid w:val="004A278A"/>
    <w:rsid w:val="004B49B1"/>
    <w:rsid w:val="004C0236"/>
    <w:rsid w:val="004F0310"/>
    <w:rsid w:val="004F0363"/>
    <w:rsid w:val="004F1338"/>
    <w:rsid w:val="004F1D8C"/>
    <w:rsid w:val="004F23E8"/>
    <w:rsid w:val="00504F67"/>
    <w:rsid w:val="0051352E"/>
    <w:rsid w:val="0051457D"/>
    <w:rsid w:val="0051630C"/>
    <w:rsid w:val="005315E1"/>
    <w:rsid w:val="00537100"/>
    <w:rsid w:val="005401AF"/>
    <w:rsid w:val="00543F8D"/>
    <w:rsid w:val="0055726A"/>
    <w:rsid w:val="00564DFA"/>
    <w:rsid w:val="0058491C"/>
    <w:rsid w:val="005906A7"/>
    <w:rsid w:val="00592ECE"/>
    <w:rsid w:val="00594ABB"/>
    <w:rsid w:val="005A785C"/>
    <w:rsid w:val="005B4E16"/>
    <w:rsid w:val="005C0649"/>
    <w:rsid w:val="005D6983"/>
    <w:rsid w:val="005D7E8D"/>
    <w:rsid w:val="005E13FE"/>
    <w:rsid w:val="005E5C99"/>
    <w:rsid w:val="005E7C5A"/>
    <w:rsid w:val="006332C4"/>
    <w:rsid w:val="00637B16"/>
    <w:rsid w:val="006459F6"/>
    <w:rsid w:val="00654D68"/>
    <w:rsid w:val="0065592C"/>
    <w:rsid w:val="00662F7E"/>
    <w:rsid w:val="006651BE"/>
    <w:rsid w:val="00680EB0"/>
    <w:rsid w:val="006A2384"/>
    <w:rsid w:val="006A72CC"/>
    <w:rsid w:val="006C1A60"/>
    <w:rsid w:val="006D06A5"/>
    <w:rsid w:val="006D5102"/>
    <w:rsid w:val="00703BB7"/>
    <w:rsid w:val="00704259"/>
    <w:rsid w:val="00707DFB"/>
    <w:rsid w:val="00710104"/>
    <w:rsid w:val="00734466"/>
    <w:rsid w:val="00736522"/>
    <w:rsid w:val="00741F04"/>
    <w:rsid w:val="00760E37"/>
    <w:rsid w:val="0076683C"/>
    <w:rsid w:val="00783227"/>
    <w:rsid w:val="007947BA"/>
    <w:rsid w:val="00797326"/>
    <w:rsid w:val="007A595F"/>
    <w:rsid w:val="007A7A21"/>
    <w:rsid w:val="007B30AD"/>
    <w:rsid w:val="007C27B9"/>
    <w:rsid w:val="007C554B"/>
    <w:rsid w:val="007C6E05"/>
    <w:rsid w:val="007D0959"/>
    <w:rsid w:val="007D58F8"/>
    <w:rsid w:val="007D5FD1"/>
    <w:rsid w:val="007E514A"/>
    <w:rsid w:val="007F0BC8"/>
    <w:rsid w:val="00801912"/>
    <w:rsid w:val="00814FD9"/>
    <w:rsid w:val="008236CF"/>
    <w:rsid w:val="0082598F"/>
    <w:rsid w:val="008305E1"/>
    <w:rsid w:val="008556EE"/>
    <w:rsid w:val="0086685B"/>
    <w:rsid w:val="00870C17"/>
    <w:rsid w:val="00871309"/>
    <w:rsid w:val="0087602C"/>
    <w:rsid w:val="00881255"/>
    <w:rsid w:val="00882790"/>
    <w:rsid w:val="00883A44"/>
    <w:rsid w:val="008862CC"/>
    <w:rsid w:val="00897446"/>
    <w:rsid w:val="008A40FE"/>
    <w:rsid w:val="008A5E68"/>
    <w:rsid w:val="008D6316"/>
    <w:rsid w:val="008E4FFE"/>
    <w:rsid w:val="00900F37"/>
    <w:rsid w:val="00902780"/>
    <w:rsid w:val="00906C1F"/>
    <w:rsid w:val="0091078A"/>
    <w:rsid w:val="00925A3D"/>
    <w:rsid w:val="00927BA2"/>
    <w:rsid w:val="00932C25"/>
    <w:rsid w:val="009472DC"/>
    <w:rsid w:val="00982B36"/>
    <w:rsid w:val="00985741"/>
    <w:rsid w:val="00986DEC"/>
    <w:rsid w:val="00994C2B"/>
    <w:rsid w:val="009963BE"/>
    <w:rsid w:val="009B3F7C"/>
    <w:rsid w:val="009C4E97"/>
    <w:rsid w:val="009D19D4"/>
    <w:rsid w:val="009D63A5"/>
    <w:rsid w:val="00A002A2"/>
    <w:rsid w:val="00A04FB4"/>
    <w:rsid w:val="00A0532F"/>
    <w:rsid w:val="00A101E0"/>
    <w:rsid w:val="00A12248"/>
    <w:rsid w:val="00A126D5"/>
    <w:rsid w:val="00A12A46"/>
    <w:rsid w:val="00A15F3A"/>
    <w:rsid w:val="00A167BC"/>
    <w:rsid w:val="00A207B1"/>
    <w:rsid w:val="00A33E43"/>
    <w:rsid w:val="00A45C84"/>
    <w:rsid w:val="00A645EF"/>
    <w:rsid w:val="00A725BB"/>
    <w:rsid w:val="00A755DA"/>
    <w:rsid w:val="00A82588"/>
    <w:rsid w:val="00AA093A"/>
    <w:rsid w:val="00AA0BE9"/>
    <w:rsid w:val="00AA7C86"/>
    <w:rsid w:val="00AB7289"/>
    <w:rsid w:val="00AC5398"/>
    <w:rsid w:val="00AF71D6"/>
    <w:rsid w:val="00AF7B74"/>
    <w:rsid w:val="00B06E83"/>
    <w:rsid w:val="00B31ACA"/>
    <w:rsid w:val="00B43305"/>
    <w:rsid w:val="00B476C1"/>
    <w:rsid w:val="00B8656A"/>
    <w:rsid w:val="00B94FBB"/>
    <w:rsid w:val="00B95D2D"/>
    <w:rsid w:val="00BA2416"/>
    <w:rsid w:val="00BA645F"/>
    <w:rsid w:val="00BA6F1A"/>
    <w:rsid w:val="00BB05CB"/>
    <w:rsid w:val="00BB0767"/>
    <w:rsid w:val="00BB2B56"/>
    <w:rsid w:val="00C01940"/>
    <w:rsid w:val="00C022C2"/>
    <w:rsid w:val="00C058C8"/>
    <w:rsid w:val="00C05F1F"/>
    <w:rsid w:val="00C0686A"/>
    <w:rsid w:val="00C137FF"/>
    <w:rsid w:val="00C21B18"/>
    <w:rsid w:val="00C27956"/>
    <w:rsid w:val="00C300B5"/>
    <w:rsid w:val="00C40B3A"/>
    <w:rsid w:val="00C62086"/>
    <w:rsid w:val="00C66AA9"/>
    <w:rsid w:val="00C7619E"/>
    <w:rsid w:val="00C83027"/>
    <w:rsid w:val="00C908CA"/>
    <w:rsid w:val="00CA00D1"/>
    <w:rsid w:val="00CB1230"/>
    <w:rsid w:val="00CB1509"/>
    <w:rsid w:val="00CC11A7"/>
    <w:rsid w:val="00CC5304"/>
    <w:rsid w:val="00CF0757"/>
    <w:rsid w:val="00CF7F39"/>
    <w:rsid w:val="00D16F01"/>
    <w:rsid w:val="00D279A3"/>
    <w:rsid w:val="00D36517"/>
    <w:rsid w:val="00D40ADA"/>
    <w:rsid w:val="00D428B5"/>
    <w:rsid w:val="00D435A0"/>
    <w:rsid w:val="00D54E83"/>
    <w:rsid w:val="00D80CBC"/>
    <w:rsid w:val="00D86D23"/>
    <w:rsid w:val="00D9637D"/>
    <w:rsid w:val="00DB2263"/>
    <w:rsid w:val="00DB7B8E"/>
    <w:rsid w:val="00DC469C"/>
    <w:rsid w:val="00DC61CE"/>
    <w:rsid w:val="00DD2C36"/>
    <w:rsid w:val="00DF5F0A"/>
    <w:rsid w:val="00E012F9"/>
    <w:rsid w:val="00E01E4A"/>
    <w:rsid w:val="00E34370"/>
    <w:rsid w:val="00E36E9D"/>
    <w:rsid w:val="00E4170C"/>
    <w:rsid w:val="00E51B1F"/>
    <w:rsid w:val="00E55C17"/>
    <w:rsid w:val="00E66DD4"/>
    <w:rsid w:val="00E77163"/>
    <w:rsid w:val="00E77CD4"/>
    <w:rsid w:val="00EA570F"/>
    <w:rsid w:val="00EA5885"/>
    <w:rsid w:val="00ED209B"/>
    <w:rsid w:val="00EF71F3"/>
    <w:rsid w:val="00EF7541"/>
    <w:rsid w:val="00F050BE"/>
    <w:rsid w:val="00F1635E"/>
    <w:rsid w:val="00F26D3A"/>
    <w:rsid w:val="00F27098"/>
    <w:rsid w:val="00F50321"/>
    <w:rsid w:val="00F507D1"/>
    <w:rsid w:val="00F50CFD"/>
    <w:rsid w:val="00F74CFC"/>
    <w:rsid w:val="00F82146"/>
    <w:rsid w:val="00F85CFC"/>
    <w:rsid w:val="00F86D29"/>
    <w:rsid w:val="00F90248"/>
    <w:rsid w:val="00FA06B2"/>
    <w:rsid w:val="00FA6B29"/>
    <w:rsid w:val="00FA7735"/>
    <w:rsid w:val="00FB2AF9"/>
    <w:rsid w:val="00FB6757"/>
    <w:rsid w:val="00FB75C0"/>
    <w:rsid w:val="00FE2388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730019,#c82d20,#003c65,#73b1dd,#8994a0,#cfd7d9,#005d4d,#51ae30"/>
    </o:shapedefaults>
    <o:shapelayout v:ext="edit">
      <o:idmap v:ext="edit" data="1"/>
    </o:shapelayout>
  </w:shapeDefaults>
  <w:decimalSymbol w:val="."/>
  <w:listSeparator w:val=","/>
  <w14:docId w14:val="1D72191F"/>
  <w15:docId w15:val="{42A61CDF-B813-41ED-9D02-A4E00647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1230"/>
    <w:pPr>
      <w:spacing w:line="284" w:lineRule="atLeast"/>
    </w:pPr>
    <w:rPr>
      <w:rFonts w:ascii="Arial" w:hAnsi="Arial" w:cs="Arial"/>
      <w:sz w:val="19"/>
      <w:szCs w:val="19"/>
    </w:rPr>
  </w:style>
  <w:style w:type="paragraph" w:styleId="Heading1">
    <w:name w:val="heading 1"/>
    <w:basedOn w:val="Normal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Heading2">
    <w:name w:val="heading 2"/>
    <w:basedOn w:val="Heading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Heading3">
    <w:name w:val="heading 3"/>
    <w:basedOn w:val="Heading2"/>
    <w:next w:val="Heading4"/>
    <w:qFormat/>
    <w:rsid w:val="000D15A0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al"/>
    <w:qFormat/>
    <w:rsid w:val="00282683"/>
    <w:pPr>
      <w:numPr>
        <w:numId w:val="1"/>
      </w:numPr>
      <w:tabs>
        <w:tab w:val="left" w:pos="227"/>
      </w:tabs>
      <w:ind w:left="0" w:firstLine="0"/>
    </w:pPr>
    <w:rPr>
      <w:bCs/>
    </w:rPr>
  </w:style>
  <w:style w:type="character" w:styleId="Emphasis">
    <w:name w:val="Emphasis"/>
    <w:basedOn w:val="DefaultParagraphFont"/>
    <w:qFormat/>
    <w:rsid w:val="000D15A0"/>
    <w:rPr>
      <w:rFonts w:ascii="Arial" w:hAnsi="Arial"/>
      <w:b/>
      <w:i w:val="0"/>
      <w:iCs/>
      <w:sz w:val="19"/>
    </w:rPr>
  </w:style>
  <w:style w:type="table" w:styleId="TableGrid">
    <w:name w:val="Table Grid"/>
    <w:basedOn w:val="TableNormal"/>
    <w:uiPriority w:val="59"/>
    <w:rsid w:val="004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4466"/>
    <w:rPr>
      <w:rFonts w:ascii="Arial" w:hAnsi="Arial" w:cs="Arial"/>
      <w:sz w:val="19"/>
      <w:szCs w:val="24"/>
    </w:rPr>
  </w:style>
  <w:style w:type="paragraph" w:customStyle="1" w:styleId="CM1">
    <w:name w:val="CM1"/>
    <w:basedOn w:val="Default"/>
    <w:next w:val="Default"/>
    <w:uiPriority w:val="99"/>
    <w:rsid w:val="00C05F1F"/>
    <w:rPr>
      <w:rFonts w:eastAsia="Times New Roman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C05F1F"/>
    <w:rPr>
      <w:rFonts w:eastAsia="Times New Roman"/>
      <w:color w:val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5F1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F1F"/>
    <w:rPr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C05F1F"/>
    <w:pPr>
      <w:autoSpaceDE w:val="0"/>
      <w:autoSpaceDN w:val="0"/>
      <w:adjustRightInd w:val="0"/>
      <w:spacing w:before="139" w:line="240" w:lineRule="auto"/>
      <w:ind w:left="-1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5F1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EA5885"/>
    <w:rPr>
      <w:rFonts w:eastAsia="Times New Roman"/>
      <w:color w:val="auto"/>
      <w:lang w:val="en-US"/>
    </w:rPr>
  </w:style>
  <w:style w:type="character" w:styleId="CommentReference">
    <w:name w:val="annotation reference"/>
    <w:uiPriority w:val="99"/>
    <w:unhideWhenUsed/>
    <w:rsid w:val="0090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C1F"/>
    <w:pPr>
      <w:spacing w:line="240" w:lineRule="auto"/>
      <w:jc w:val="both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C1F"/>
    <w:rPr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E77163"/>
  </w:style>
  <w:style w:type="paragraph" w:customStyle="1" w:styleId="SingleTxtG">
    <w:name w:val="_ Single Txt_G"/>
    <w:basedOn w:val="Normal"/>
    <w:link w:val="SingleTxtGChar"/>
    <w:qFormat/>
    <w:rsid w:val="00E77163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15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FD1"/>
    <w:pPr>
      <w:jc w:val="left"/>
    </w:pPr>
    <w:rPr>
      <w:rFonts w:ascii="Arial" w:hAnsi="Arial" w:cs="Arial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7D5FD1"/>
    <w:rPr>
      <w:rFonts w:ascii="Arial" w:hAnsi="Arial" w:cs="Arial"/>
      <w:b/>
      <w:bCs/>
      <w:lang w:val="en-GB" w:eastAsia="en-US"/>
    </w:rPr>
  </w:style>
  <w:style w:type="paragraph" w:customStyle="1" w:styleId="CM11">
    <w:name w:val="CM1+1"/>
    <w:basedOn w:val="Default"/>
    <w:next w:val="Default"/>
    <w:uiPriority w:val="99"/>
    <w:rsid w:val="001B3FA7"/>
    <w:rPr>
      <w:rFonts w:eastAsia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62F7E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3E59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E59E4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nhideWhenUsed/>
    <w:rsid w:val="003E59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E59E4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4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5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8946-FC54-469A-AB6F-5D5390CD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3149</Characters>
  <Application>Microsoft Office Word</Application>
  <DocSecurity>0</DocSecurity>
  <Lines>57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VOLKSWAGEN GROUP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 180305</dc:creator>
  <cp:lastModifiedBy>Dimitrios Tsokolis (TME)</cp:lastModifiedBy>
  <cp:revision>9</cp:revision>
  <cp:lastPrinted>2012-01-10T13:50:00Z</cp:lastPrinted>
  <dcterms:created xsi:type="dcterms:W3CDTF">2020-01-06T08:57:00Z</dcterms:created>
  <dcterms:modified xsi:type="dcterms:W3CDTF">2020-01-06T09:24:00Z</dcterms:modified>
  <cp:category>Not Protected</cp:category>
</cp:coreProperties>
</file>